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52C" w:rsidRPr="001D652C" w:rsidRDefault="001D652C" w:rsidP="001D652C">
      <w:pPr>
        <w:spacing w:before="100" w:beforeAutospacing="1" w:after="100" w:afterAutospacing="1"/>
        <w:outlineLvl w:val="0"/>
        <w:rPr>
          <w:rFonts w:eastAsia="Times New Roman"/>
          <w:b/>
          <w:bCs/>
          <w:kern w:val="36"/>
          <w:sz w:val="40"/>
          <w:szCs w:val="40"/>
          <w:lang w:eastAsia="en-US"/>
        </w:rPr>
      </w:pPr>
      <w:r w:rsidRPr="001D652C">
        <w:rPr>
          <w:rFonts w:eastAsia="Times New Roman"/>
          <w:b/>
          <w:bCs/>
          <w:kern w:val="36"/>
          <w:sz w:val="40"/>
          <w:szCs w:val="40"/>
          <w:lang w:eastAsia="en-US"/>
        </w:rPr>
        <w:t xml:space="preserve">Good Shepherd Vil. at Endwell, Inc. v </w:t>
      </w:r>
      <w:proofErr w:type="spellStart"/>
      <w:r w:rsidRPr="001D652C">
        <w:rPr>
          <w:rFonts w:eastAsia="Times New Roman"/>
          <w:b/>
          <w:bCs/>
          <w:kern w:val="36"/>
          <w:sz w:val="40"/>
          <w:szCs w:val="40"/>
          <w:lang w:eastAsia="en-US"/>
        </w:rPr>
        <w:t>Yezzi</w:t>
      </w:r>
      <w:proofErr w:type="spellEnd"/>
    </w:p>
    <w:p w:rsidR="001D652C" w:rsidRDefault="001D652C" w:rsidP="001D652C">
      <w:pPr>
        <w:rPr>
          <w:rFonts w:eastAsia="Times New Roman"/>
          <w:lang w:eastAsia="en-US"/>
        </w:rPr>
      </w:pPr>
      <w:r w:rsidRPr="001D652C">
        <w:rPr>
          <w:rFonts w:eastAsia="Times New Roman"/>
          <w:lang w:eastAsia="en-US"/>
        </w:rPr>
        <w:t xml:space="preserve"> [*1] Good Shepherd Vil. at Endwell, Inc. v </w:t>
      </w:r>
      <w:proofErr w:type="spellStart"/>
      <w:r w:rsidRPr="001D652C">
        <w:rPr>
          <w:rFonts w:eastAsia="Times New Roman"/>
          <w:lang w:eastAsia="en-US"/>
        </w:rPr>
        <w:t>Yezzi</w:t>
      </w:r>
      <w:proofErr w:type="spellEnd"/>
      <w:r w:rsidRPr="001D652C">
        <w:rPr>
          <w:rFonts w:eastAsia="Times New Roman"/>
          <w:lang w:eastAsia="en-US"/>
        </w:rPr>
        <w:t xml:space="preserve"> 2014 NY Slip Op 51900(U) Decided on December 22, 2014 Supreme Court, Broome County </w:t>
      </w:r>
      <w:proofErr w:type="spellStart"/>
      <w:r w:rsidRPr="001D652C">
        <w:rPr>
          <w:rFonts w:eastAsia="Times New Roman"/>
          <w:lang w:eastAsia="en-US"/>
        </w:rPr>
        <w:t>Lebous</w:t>
      </w:r>
      <w:proofErr w:type="spellEnd"/>
      <w:r w:rsidRPr="001D652C">
        <w:rPr>
          <w:rFonts w:eastAsia="Times New Roman"/>
          <w:lang w:eastAsia="en-US"/>
        </w:rPr>
        <w:t xml:space="preserve">, J. Published by New York State Law Reporting Bureau pursuant to Judiciary Law § 431. This opinion is uncorrected and will not be published in the printed Official Reports. </w:t>
      </w:r>
      <w:r w:rsidRPr="001D652C">
        <w:rPr>
          <w:rFonts w:eastAsia="Times New Roman"/>
          <w:lang w:eastAsia="en-US"/>
        </w:rPr>
        <w:br/>
      </w:r>
      <w:r w:rsidRPr="001D652C">
        <w:rPr>
          <w:rFonts w:eastAsia="Times New Roman"/>
          <w:lang w:eastAsia="en-US"/>
        </w:rPr>
        <w:br/>
        <w:t xml:space="preserve">Decided on December 22, 2014 </w:t>
      </w:r>
      <w:r w:rsidRPr="001D652C">
        <w:rPr>
          <w:rFonts w:eastAsia="Times New Roman"/>
          <w:lang w:eastAsia="en-US"/>
        </w:rPr>
        <w:br/>
        <w:t xml:space="preserve">Supreme Court, Broome County </w:t>
      </w:r>
      <w:r w:rsidRPr="001D652C">
        <w:rPr>
          <w:rFonts w:eastAsia="Times New Roman"/>
          <w:lang w:eastAsia="en-US"/>
        </w:rPr>
        <w:br/>
      </w:r>
      <w:r w:rsidRPr="001D652C">
        <w:rPr>
          <w:rFonts w:eastAsia="Times New Roman"/>
          <w:lang w:eastAsia="en-US"/>
        </w:rPr>
        <w:br/>
      </w:r>
      <w:r w:rsidRPr="001D652C">
        <w:rPr>
          <w:rFonts w:eastAsia="Times New Roman"/>
          <w:b/>
          <w:sz w:val="28"/>
          <w:szCs w:val="28"/>
          <w:lang w:eastAsia="en-US"/>
        </w:rPr>
        <w:t xml:space="preserve">Good Shepherd Village at Endwell, Inc., Plaintiff, vs. Peter </w:t>
      </w:r>
      <w:proofErr w:type="spellStart"/>
      <w:r w:rsidRPr="001D652C">
        <w:rPr>
          <w:rFonts w:eastAsia="Times New Roman"/>
          <w:b/>
          <w:sz w:val="28"/>
          <w:szCs w:val="28"/>
          <w:lang w:eastAsia="en-US"/>
        </w:rPr>
        <w:t>Yezzi</w:t>
      </w:r>
      <w:proofErr w:type="spellEnd"/>
      <w:r w:rsidRPr="001D652C">
        <w:rPr>
          <w:rFonts w:eastAsia="Times New Roman"/>
          <w:b/>
          <w:sz w:val="28"/>
          <w:szCs w:val="28"/>
          <w:lang w:eastAsia="en-US"/>
        </w:rPr>
        <w:t>, H</w:t>
      </w:r>
      <w:r w:rsidR="001B630F">
        <w:rPr>
          <w:rFonts w:eastAsia="Times New Roman"/>
          <w:b/>
          <w:sz w:val="28"/>
          <w:szCs w:val="28"/>
          <w:lang w:eastAsia="en-US"/>
        </w:rPr>
        <w:t xml:space="preserve">azel </w:t>
      </w:r>
      <w:r w:rsidRPr="001D652C">
        <w:rPr>
          <w:rFonts w:eastAsia="Times New Roman"/>
          <w:b/>
          <w:sz w:val="28"/>
          <w:szCs w:val="28"/>
          <w:lang w:eastAsia="en-US"/>
        </w:rPr>
        <w:t xml:space="preserve">R. </w:t>
      </w:r>
      <w:proofErr w:type="spellStart"/>
      <w:r w:rsidRPr="001D652C">
        <w:rPr>
          <w:rFonts w:eastAsia="Times New Roman"/>
          <w:b/>
          <w:sz w:val="28"/>
          <w:szCs w:val="28"/>
          <w:lang w:eastAsia="en-US"/>
        </w:rPr>
        <w:t>Y</w:t>
      </w:r>
      <w:r w:rsidR="001B630F">
        <w:rPr>
          <w:rFonts w:eastAsia="Times New Roman"/>
          <w:b/>
          <w:sz w:val="28"/>
          <w:szCs w:val="28"/>
          <w:lang w:eastAsia="en-US"/>
        </w:rPr>
        <w:t>ezzi</w:t>
      </w:r>
      <w:proofErr w:type="spellEnd"/>
      <w:r w:rsidRPr="001D652C">
        <w:rPr>
          <w:rFonts w:eastAsia="Times New Roman"/>
          <w:b/>
          <w:sz w:val="28"/>
          <w:szCs w:val="28"/>
          <w:lang w:eastAsia="en-US"/>
        </w:rPr>
        <w:t>, and J</w:t>
      </w:r>
      <w:r w:rsidR="001B630F">
        <w:rPr>
          <w:rFonts w:eastAsia="Times New Roman"/>
          <w:b/>
          <w:sz w:val="28"/>
          <w:szCs w:val="28"/>
          <w:lang w:eastAsia="en-US"/>
        </w:rPr>
        <w:t>oseph P. Yezzi</w:t>
      </w:r>
      <w:bookmarkStart w:id="0" w:name="_GoBack"/>
      <w:bookmarkEnd w:id="0"/>
      <w:r w:rsidRPr="001D652C">
        <w:rPr>
          <w:rFonts w:eastAsia="Times New Roman"/>
          <w:b/>
          <w:sz w:val="28"/>
          <w:szCs w:val="28"/>
          <w:lang w:eastAsia="en-US"/>
        </w:rPr>
        <w:t>, Defendants.</w:t>
      </w:r>
      <w:r w:rsidRPr="001D652C">
        <w:rPr>
          <w:rFonts w:eastAsia="Times New Roman"/>
          <w:b/>
          <w:sz w:val="28"/>
          <w:szCs w:val="28"/>
          <w:lang w:eastAsia="en-US"/>
        </w:rPr>
        <w:br/>
      </w:r>
      <w:r w:rsidRPr="001D652C">
        <w:rPr>
          <w:rFonts w:eastAsia="Times New Roman"/>
          <w:lang w:eastAsia="en-US"/>
        </w:rPr>
        <w:br/>
        <w:t xml:space="preserve">2013-2189 </w:t>
      </w:r>
      <w:r w:rsidRPr="001D652C">
        <w:rPr>
          <w:rFonts w:eastAsia="Times New Roman"/>
          <w:lang w:eastAsia="en-US"/>
        </w:rPr>
        <w:br/>
      </w:r>
      <w:r w:rsidRPr="001D652C">
        <w:rPr>
          <w:rFonts w:eastAsia="Times New Roman"/>
          <w:lang w:eastAsia="en-US"/>
        </w:rPr>
        <w:br/>
        <w:t>APPEARANCES:</w:t>
      </w:r>
    </w:p>
    <w:p w:rsidR="001D652C" w:rsidRPr="001D652C" w:rsidRDefault="001D652C" w:rsidP="001D652C">
      <w:pPr>
        <w:rPr>
          <w:rFonts w:eastAsia="Times New Roman"/>
          <w:lang w:eastAsia="en-US"/>
        </w:rPr>
      </w:pPr>
      <w:r w:rsidRPr="001D652C">
        <w:rPr>
          <w:rFonts w:eastAsia="Times New Roman"/>
          <w:lang w:eastAsia="en-US"/>
        </w:rPr>
        <w:br/>
        <w:t>COUNSEL FOR PLAINTIFF</w:t>
      </w:r>
      <w:proofErr w:type="gramStart"/>
      <w:r w:rsidRPr="001D652C">
        <w:rPr>
          <w:rFonts w:eastAsia="Times New Roman"/>
          <w:lang w:eastAsia="en-US"/>
        </w:rPr>
        <w:t>:</w:t>
      </w:r>
      <w:proofErr w:type="gramEnd"/>
      <w:r w:rsidRPr="001D652C">
        <w:rPr>
          <w:rFonts w:eastAsia="Times New Roman"/>
          <w:lang w:eastAsia="en-US"/>
        </w:rPr>
        <w:br/>
        <w:t>HINMAN STRAUB</w:t>
      </w:r>
      <w:r w:rsidRPr="001D652C">
        <w:rPr>
          <w:rFonts w:eastAsia="Times New Roman"/>
          <w:lang w:eastAsia="en-US"/>
        </w:rPr>
        <w:br/>
        <w:t>BY: DAVID T. LUNTZ, ESQ., OF COUNSEL</w:t>
      </w:r>
      <w:r w:rsidRPr="001D652C">
        <w:rPr>
          <w:rFonts w:eastAsia="Times New Roman"/>
          <w:lang w:eastAsia="en-US"/>
        </w:rPr>
        <w:br/>
        <w:t>121 STATE STREET</w:t>
      </w:r>
      <w:r w:rsidRPr="001D652C">
        <w:rPr>
          <w:rFonts w:eastAsia="Times New Roman"/>
          <w:lang w:eastAsia="en-US"/>
        </w:rPr>
        <w:br/>
        <w:t>ALBANY, NY 12207-1693</w:t>
      </w:r>
    </w:p>
    <w:p w:rsidR="001D652C" w:rsidRPr="001D652C" w:rsidRDefault="001D652C" w:rsidP="001D652C">
      <w:pPr>
        <w:rPr>
          <w:rFonts w:eastAsia="Times New Roman"/>
          <w:lang w:eastAsia="en-US"/>
        </w:rPr>
      </w:pPr>
      <w:r w:rsidRPr="001D652C">
        <w:rPr>
          <w:rFonts w:eastAsia="Times New Roman"/>
          <w:lang w:eastAsia="en-US"/>
        </w:rPr>
        <w:br/>
        <w:t>COUNSEL FOR DEFENDANT</w:t>
      </w:r>
      <w:proofErr w:type="gramStart"/>
      <w:r w:rsidRPr="001D652C">
        <w:rPr>
          <w:rFonts w:eastAsia="Times New Roman"/>
          <w:lang w:eastAsia="en-US"/>
        </w:rPr>
        <w:t>:</w:t>
      </w:r>
      <w:proofErr w:type="gramEnd"/>
      <w:r w:rsidRPr="001D652C">
        <w:rPr>
          <w:rFonts w:eastAsia="Times New Roman"/>
          <w:lang w:eastAsia="en-US"/>
        </w:rPr>
        <w:br/>
        <w:t>WOODS OVIATT GILMAN, LLP</w:t>
      </w:r>
      <w:r w:rsidRPr="001D652C">
        <w:rPr>
          <w:rFonts w:eastAsia="Times New Roman"/>
          <w:lang w:eastAsia="en-US"/>
        </w:rPr>
        <w:br/>
        <w:t>BY:RENE H. REIXACH, ESQ., OF COUNSEL</w:t>
      </w:r>
      <w:r w:rsidRPr="001D652C">
        <w:rPr>
          <w:rFonts w:eastAsia="Times New Roman"/>
          <w:lang w:eastAsia="en-US"/>
        </w:rPr>
        <w:br/>
        <w:t>700 CROSSROADS BUILDING</w:t>
      </w:r>
      <w:r w:rsidRPr="001D652C">
        <w:rPr>
          <w:rFonts w:eastAsia="Times New Roman"/>
          <w:lang w:eastAsia="en-US"/>
        </w:rPr>
        <w:br/>
        <w:t>2 STATE STREET</w:t>
      </w:r>
      <w:r w:rsidRPr="001D652C">
        <w:rPr>
          <w:rFonts w:eastAsia="Times New Roman"/>
          <w:lang w:eastAsia="en-US"/>
        </w:rPr>
        <w:br/>
        <w:t>ROCHESTER, NY 14614</w:t>
      </w:r>
    </w:p>
    <w:p w:rsidR="001D652C" w:rsidRPr="001D652C" w:rsidRDefault="001D652C" w:rsidP="001D652C">
      <w:pPr>
        <w:rPr>
          <w:rFonts w:eastAsia="Times New Roman"/>
          <w:lang w:eastAsia="en-US"/>
        </w:rPr>
      </w:pPr>
      <w:r w:rsidRPr="001D652C">
        <w:rPr>
          <w:rFonts w:eastAsia="Times New Roman"/>
          <w:lang w:eastAsia="en-US"/>
        </w:rPr>
        <w:br/>
        <w:t xml:space="preserve">Ferris D. </w:t>
      </w:r>
      <w:proofErr w:type="spellStart"/>
      <w:r w:rsidRPr="001D652C">
        <w:rPr>
          <w:rFonts w:eastAsia="Times New Roman"/>
          <w:lang w:eastAsia="en-US"/>
        </w:rPr>
        <w:t>Lebous</w:t>
      </w:r>
      <w:proofErr w:type="spellEnd"/>
      <w:r w:rsidRPr="001D652C">
        <w:rPr>
          <w:rFonts w:eastAsia="Times New Roman"/>
          <w:lang w:eastAsia="en-US"/>
        </w:rPr>
        <w:t xml:space="preserve">, J. </w:t>
      </w:r>
    </w:p>
    <w:p w:rsidR="001D652C" w:rsidRPr="001D652C" w:rsidRDefault="001D652C" w:rsidP="001D652C">
      <w:pPr>
        <w:spacing w:before="100" w:beforeAutospacing="1" w:after="100" w:afterAutospacing="1"/>
        <w:rPr>
          <w:rFonts w:eastAsia="Times New Roman"/>
          <w:lang w:eastAsia="en-US"/>
        </w:rPr>
      </w:pPr>
      <w:r w:rsidRPr="001D652C">
        <w:rPr>
          <w:rFonts w:eastAsia="Times New Roman"/>
          <w:lang w:eastAsia="en-US"/>
        </w:rPr>
        <w:t xml:space="preserve">This action involves a contract between a provider and residents of a Fee-For-Service Continuing Care Retirement Community which was established pursuant to Article 46-A of the New York Public Health Law. Fee-For-Service Continuing Care Retirement Communities (FFSCCRCs) provide unique multiple levels of care for moderate to high net worth and/or income individuals as distinct from traditional </w:t>
      </w:r>
      <w:proofErr w:type="spellStart"/>
      <w:r w:rsidRPr="001D652C">
        <w:rPr>
          <w:rFonts w:eastAsia="Times New Roman"/>
          <w:lang w:eastAsia="en-US"/>
        </w:rPr>
        <w:t>stand alone</w:t>
      </w:r>
      <w:proofErr w:type="spellEnd"/>
      <w:r w:rsidRPr="001D652C">
        <w:rPr>
          <w:rFonts w:eastAsia="Times New Roman"/>
          <w:lang w:eastAsia="en-US"/>
        </w:rPr>
        <w:t xml:space="preserve"> nursing homes. The legislative design of FFSCRCs will be described in further detail below.</w:t>
      </w:r>
    </w:p>
    <w:p w:rsidR="001D652C" w:rsidRPr="001D652C" w:rsidRDefault="001D652C" w:rsidP="001D652C">
      <w:pPr>
        <w:spacing w:before="100" w:beforeAutospacing="1" w:after="100" w:afterAutospacing="1"/>
        <w:rPr>
          <w:rFonts w:eastAsia="Times New Roman"/>
          <w:lang w:eastAsia="en-US"/>
        </w:rPr>
      </w:pPr>
      <w:r w:rsidRPr="001D652C">
        <w:rPr>
          <w:rFonts w:eastAsia="Times New Roman"/>
          <w:lang w:eastAsia="en-US"/>
        </w:rPr>
        <w:t>Plaintiff Good Shepherd Village at Endwell, Inc. (hereinafter "Good Shepherd") moves for: (1) partial summary judgment as to its first, second, and third causes of action; and (2) summary judgment dismissing defendants' counterclaims.</w:t>
      </w:r>
    </w:p>
    <w:p w:rsidR="001D652C" w:rsidRPr="001D652C" w:rsidRDefault="001D652C" w:rsidP="001D652C">
      <w:pPr>
        <w:spacing w:before="100" w:beforeAutospacing="1" w:after="100" w:afterAutospacing="1"/>
        <w:rPr>
          <w:rFonts w:eastAsia="Times New Roman"/>
          <w:lang w:eastAsia="en-US"/>
        </w:rPr>
      </w:pPr>
      <w:r w:rsidRPr="001D652C">
        <w:rPr>
          <w:rFonts w:eastAsia="Times New Roman"/>
          <w:lang w:eastAsia="en-US"/>
        </w:rPr>
        <w:t xml:space="preserve">Defendants Peter </w:t>
      </w:r>
      <w:proofErr w:type="spellStart"/>
      <w:r w:rsidRPr="001D652C">
        <w:rPr>
          <w:rFonts w:eastAsia="Times New Roman"/>
          <w:lang w:eastAsia="en-US"/>
        </w:rPr>
        <w:t>Yezzi</w:t>
      </w:r>
      <w:proofErr w:type="spellEnd"/>
      <w:r w:rsidRPr="001D652C">
        <w:rPr>
          <w:rFonts w:eastAsia="Times New Roman"/>
          <w:lang w:eastAsia="en-US"/>
        </w:rPr>
        <w:t xml:space="preserve">, Hazel R. </w:t>
      </w:r>
      <w:proofErr w:type="spellStart"/>
      <w:r w:rsidRPr="001D652C">
        <w:rPr>
          <w:rFonts w:eastAsia="Times New Roman"/>
          <w:lang w:eastAsia="en-US"/>
        </w:rPr>
        <w:t>Yezzi</w:t>
      </w:r>
      <w:proofErr w:type="spellEnd"/>
      <w:r w:rsidRPr="001D652C">
        <w:rPr>
          <w:rFonts w:eastAsia="Times New Roman"/>
          <w:lang w:eastAsia="en-US"/>
        </w:rPr>
        <w:t xml:space="preserve">, and Joseph P. </w:t>
      </w:r>
      <w:proofErr w:type="spellStart"/>
      <w:r w:rsidRPr="001D652C">
        <w:rPr>
          <w:rFonts w:eastAsia="Times New Roman"/>
          <w:lang w:eastAsia="en-US"/>
        </w:rPr>
        <w:t>Yezzi</w:t>
      </w:r>
      <w:proofErr w:type="spellEnd"/>
      <w:r w:rsidRPr="001D652C">
        <w:rPr>
          <w:rFonts w:eastAsia="Times New Roman"/>
          <w:lang w:eastAsia="en-US"/>
        </w:rPr>
        <w:t xml:space="preserve"> cross-move for: (1) summary judgment dismissing plaintiff's first, second, and third causes of action; (2) </w:t>
      </w:r>
      <w:r w:rsidRPr="001D652C">
        <w:rPr>
          <w:rFonts w:eastAsia="Times New Roman"/>
          <w:lang w:eastAsia="en-US"/>
        </w:rPr>
        <w:lastRenderedPageBreak/>
        <w:t xml:space="preserve">dismissing plaintiff's request for a declaration for failure to join the New York State Department of Health and the Broome County Department of Social Services as necessary parties pursuant to CPLR § 1001(a); (3) granting summary judgment to defendants on their first counterclaim declaring that plaintiff has violated federal and state </w:t>
      </w:r>
      <w:proofErr w:type="spellStart"/>
      <w:r w:rsidRPr="001D652C">
        <w:rPr>
          <w:rFonts w:eastAsia="Times New Roman"/>
          <w:lang w:eastAsia="en-US"/>
        </w:rPr>
        <w:t>medicaid</w:t>
      </w:r>
      <w:proofErr w:type="spellEnd"/>
      <w:r w:rsidRPr="001D652C">
        <w:rPr>
          <w:rFonts w:eastAsia="Times New Roman"/>
          <w:lang w:eastAsia="en-US"/>
        </w:rPr>
        <w:t xml:space="preserve"> laws and regulations, that there was no breach of contract and no fraudulent conveyance; (4) granting summary judgment to defendants on their second counterclaim alleging that plaintiff has violated General Business Law § 349; and (5) for an order substituting "Joseph P. </w:t>
      </w:r>
      <w:proofErr w:type="spellStart"/>
      <w:r w:rsidRPr="001D652C">
        <w:rPr>
          <w:rFonts w:eastAsia="Times New Roman"/>
          <w:lang w:eastAsia="en-US"/>
        </w:rPr>
        <w:t>Yezzi</w:t>
      </w:r>
      <w:proofErr w:type="spellEnd"/>
      <w:r w:rsidRPr="001D652C">
        <w:rPr>
          <w:rFonts w:eastAsia="Times New Roman"/>
          <w:lang w:eastAsia="en-US"/>
        </w:rPr>
        <w:t xml:space="preserve"> as Executor of the Estate of Hazel R. </w:t>
      </w:r>
      <w:proofErr w:type="spellStart"/>
      <w:r w:rsidRPr="001D652C">
        <w:rPr>
          <w:rFonts w:eastAsia="Times New Roman"/>
          <w:lang w:eastAsia="en-US"/>
        </w:rPr>
        <w:t>Yezzi</w:t>
      </w:r>
      <w:proofErr w:type="spellEnd"/>
      <w:r w:rsidRPr="001D652C">
        <w:rPr>
          <w:rFonts w:eastAsia="Times New Roman"/>
          <w:lang w:eastAsia="en-US"/>
        </w:rPr>
        <w:t xml:space="preserve">" in place of Hazel R. </w:t>
      </w:r>
      <w:proofErr w:type="spellStart"/>
      <w:r w:rsidRPr="001D652C">
        <w:rPr>
          <w:rFonts w:eastAsia="Times New Roman"/>
          <w:lang w:eastAsia="en-US"/>
        </w:rPr>
        <w:t>Yezzi</w:t>
      </w:r>
      <w:proofErr w:type="spellEnd"/>
      <w:r w:rsidRPr="001D652C">
        <w:rPr>
          <w:rFonts w:eastAsia="Times New Roman"/>
          <w:lang w:eastAsia="en-US"/>
        </w:rPr>
        <w:t xml:space="preserve"> in this action.[FN1] Joseph </w:t>
      </w:r>
      <w:proofErr w:type="spellStart"/>
      <w:r w:rsidRPr="001D652C">
        <w:rPr>
          <w:rFonts w:eastAsia="Times New Roman"/>
          <w:lang w:eastAsia="en-US"/>
        </w:rPr>
        <w:t>Yezzi</w:t>
      </w:r>
      <w:proofErr w:type="spellEnd"/>
      <w:r w:rsidRPr="001D652C">
        <w:rPr>
          <w:rFonts w:eastAsia="Times New Roman"/>
          <w:lang w:eastAsia="en-US"/>
        </w:rPr>
        <w:t xml:space="preserve"> is the son of Peter </w:t>
      </w:r>
      <w:proofErr w:type="spellStart"/>
      <w:r w:rsidRPr="001D652C">
        <w:rPr>
          <w:rFonts w:eastAsia="Times New Roman"/>
          <w:lang w:eastAsia="en-US"/>
        </w:rPr>
        <w:t>Yezzi</w:t>
      </w:r>
      <w:proofErr w:type="spellEnd"/>
      <w:r w:rsidRPr="001D652C">
        <w:rPr>
          <w:rFonts w:eastAsia="Times New Roman"/>
          <w:lang w:eastAsia="en-US"/>
        </w:rPr>
        <w:t xml:space="preserve"> and the stepson of Hazel R. </w:t>
      </w:r>
      <w:proofErr w:type="spellStart"/>
      <w:r w:rsidRPr="001D652C">
        <w:rPr>
          <w:rFonts w:eastAsia="Times New Roman"/>
          <w:lang w:eastAsia="en-US"/>
        </w:rPr>
        <w:t>Yezzi</w:t>
      </w:r>
      <w:proofErr w:type="spellEnd"/>
      <w:r w:rsidRPr="001D652C">
        <w:rPr>
          <w:rFonts w:eastAsia="Times New Roman"/>
          <w:lang w:eastAsia="en-US"/>
        </w:rPr>
        <w:t>.</w:t>
      </w:r>
    </w:p>
    <w:p w:rsidR="001D652C" w:rsidRPr="001D652C" w:rsidRDefault="001D652C" w:rsidP="001D652C">
      <w:pPr>
        <w:spacing w:before="100" w:beforeAutospacing="1" w:after="100" w:afterAutospacing="1"/>
        <w:rPr>
          <w:rFonts w:eastAsia="Times New Roman"/>
          <w:lang w:eastAsia="en-US"/>
        </w:rPr>
      </w:pPr>
      <w:r w:rsidRPr="001D652C">
        <w:rPr>
          <w:rFonts w:eastAsia="Times New Roman"/>
          <w:b/>
          <w:lang w:eastAsia="en-US"/>
        </w:rPr>
        <w:t>BACKGROUND</w:t>
      </w:r>
      <w:r w:rsidRPr="001D652C">
        <w:rPr>
          <w:rFonts w:eastAsia="Times New Roman"/>
          <w:b/>
          <w:lang w:eastAsia="en-US"/>
        </w:rPr>
        <w:br/>
      </w:r>
      <w:r w:rsidRPr="001D652C">
        <w:rPr>
          <w:rFonts w:eastAsia="Times New Roman"/>
          <w:lang w:eastAsia="en-US"/>
        </w:rPr>
        <w:br/>
        <w:t>Fee-For-Service Continuing Care Retirement Communities (FFSCCRCs)</w:t>
      </w:r>
    </w:p>
    <w:p w:rsidR="001D652C" w:rsidRPr="001D652C" w:rsidRDefault="001D652C" w:rsidP="001D652C">
      <w:pPr>
        <w:spacing w:before="100" w:beforeAutospacing="1" w:after="100" w:afterAutospacing="1"/>
        <w:rPr>
          <w:rFonts w:eastAsia="Times New Roman"/>
          <w:lang w:eastAsia="en-US"/>
        </w:rPr>
      </w:pPr>
      <w:r w:rsidRPr="001D652C">
        <w:rPr>
          <w:rFonts w:eastAsia="Times New Roman"/>
          <w:lang w:eastAsia="en-US"/>
        </w:rPr>
        <w:t>On January 1, 2005, Public Health Law Article 46-A, entitled "Fee-For-Service Continuing Care", became effective. In 2009, Good Shepherd opened a Fee-For-Service Continuing Care Retirement Community located in Endwell, New York. A brief overview of continuing care retirement communities (CCRCs) and fee-for-service continuing care retirement communities (FFSCCRCs) is warranted.</w:t>
      </w:r>
    </w:p>
    <w:p w:rsidR="00587AFC" w:rsidRDefault="001D652C" w:rsidP="001D652C">
      <w:pPr>
        <w:spacing w:before="100" w:beforeAutospacing="1" w:after="100" w:afterAutospacing="1"/>
        <w:rPr>
          <w:rFonts w:eastAsia="Times New Roman"/>
          <w:lang w:eastAsia="en-US"/>
        </w:rPr>
      </w:pPr>
      <w:r w:rsidRPr="001D652C">
        <w:rPr>
          <w:rFonts w:eastAsia="Times New Roman"/>
          <w:lang w:eastAsia="en-US"/>
        </w:rPr>
        <w:t>The New York State Department of Health website describes Fee-For-Service Continuing Care Retirement Communities, in part, as follows:</w:t>
      </w:r>
      <w:r w:rsidRPr="001D652C">
        <w:rPr>
          <w:rFonts w:eastAsia="Times New Roman"/>
          <w:lang w:eastAsia="en-US"/>
        </w:rPr>
        <w:br/>
      </w:r>
      <w:r w:rsidRPr="001D652C">
        <w:rPr>
          <w:rFonts w:eastAsia="Times New Roman"/>
          <w:lang w:eastAsia="en-US"/>
        </w:rPr>
        <w:br/>
        <w:t>[c]</w:t>
      </w:r>
      <w:proofErr w:type="spellStart"/>
      <w:r w:rsidRPr="001D652C">
        <w:rPr>
          <w:rFonts w:eastAsia="Times New Roman"/>
          <w:lang w:eastAsia="en-US"/>
        </w:rPr>
        <w:t>ontinuing</w:t>
      </w:r>
      <w:proofErr w:type="spellEnd"/>
      <w:r w:rsidRPr="001D652C">
        <w:rPr>
          <w:rFonts w:eastAsia="Times New Roman"/>
          <w:lang w:eastAsia="en-US"/>
        </w:rPr>
        <w:t xml:space="preserve"> care retirement communities (CCRCs) and fee-for-service continuing care retirement communities (FFSCCRCs) are residential alternatives for adults that offer, under one contract, an independent living unit (an apartment or cottage), residential amenities and access to a continuum of long term care services, as residents' health and social needs change over time. Residential and health care services include:</w:t>
      </w:r>
    </w:p>
    <w:p w:rsidR="001D652C" w:rsidRPr="001D652C" w:rsidRDefault="001D652C" w:rsidP="00587AFC">
      <w:pPr>
        <w:spacing w:before="100" w:beforeAutospacing="1" w:after="100" w:afterAutospacing="1"/>
        <w:jc w:val="center"/>
        <w:rPr>
          <w:rFonts w:eastAsia="Times New Roman"/>
          <w:lang w:eastAsia="en-US"/>
        </w:rPr>
      </w:pPr>
      <w:r w:rsidRPr="001D652C">
        <w:rPr>
          <w:rFonts w:eastAsia="Times New Roman"/>
          <w:lang w:eastAsia="en-US"/>
        </w:rPr>
        <w:t>**</w:t>
      </w:r>
    </w:p>
    <w:p w:rsidR="001D652C" w:rsidRPr="001D652C" w:rsidRDefault="001D652C" w:rsidP="001D652C">
      <w:pPr>
        <w:rPr>
          <w:rFonts w:eastAsia="Times New Roman"/>
          <w:lang w:eastAsia="en-US"/>
        </w:rPr>
      </w:pPr>
      <w:r w:rsidRPr="001D652C">
        <w:rPr>
          <w:rFonts w:eastAsia="Times New Roman"/>
          <w:lang w:eastAsia="en-US"/>
        </w:rPr>
        <w:t>Supportive housing and services provided in an adult home, an enriched housing setting, or an assisted living residence (FFSCCRCs must provide residents with access to this intermediate level of care; while CCRCs generally provide access to this service, it is not required under the CCRC statute)....</w:t>
      </w:r>
      <w:r w:rsidRPr="001D652C">
        <w:rPr>
          <w:rFonts w:eastAsia="Times New Roman"/>
          <w:lang w:eastAsia="en-US"/>
        </w:rPr>
        <w:br/>
        <w:t>(https://www.health.ny.gov/facilities/long_term_care/retirement_communities/continuing_care/).</w:t>
      </w:r>
    </w:p>
    <w:p w:rsidR="001D652C" w:rsidRPr="001D652C" w:rsidRDefault="001D652C" w:rsidP="001D652C">
      <w:pPr>
        <w:spacing w:before="100" w:beforeAutospacing="1" w:after="100" w:afterAutospacing="1"/>
        <w:rPr>
          <w:rFonts w:eastAsia="Times New Roman"/>
          <w:lang w:eastAsia="en-US"/>
        </w:rPr>
      </w:pPr>
      <w:r w:rsidRPr="001D652C">
        <w:rPr>
          <w:rFonts w:eastAsia="Times New Roman"/>
          <w:lang w:eastAsia="en-US"/>
        </w:rPr>
        <w:t xml:space="preserve">Moreover,"[t]he New York State Department of Health has oversight responsibility for the certification and operation of both continuing care retirement communities and fee-for-service continuing care retirement communities." Additionally, "Department of Health approval is required prior to any marketing of a proposed community. The Department reviews the character and competence of the sponsor, and monitors the programmatic and legal requirements for the CCRC/FFSCCRC, including all organizations documents and resident contracts" </w:t>
      </w:r>
      <w:r w:rsidRPr="001D652C">
        <w:rPr>
          <w:rFonts w:eastAsia="Times New Roman"/>
          <w:lang w:eastAsia="en-US"/>
        </w:rPr>
        <w:lastRenderedPageBreak/>
        <w:t>(https://www.health.ny.gov/facilities/long_term_care/retirement_communities/continuing_care/ [emphasis added]).</w:t>
      </w:r>
    </w:p>
    <w:p w:rsidR="001D652C" w:rsidRPr="001D652C" w:rsidRDefault="001D652C" w:rsidP="00587AFC">
      <w:pPr>
        <w:spacing w:before="100" w:beforeAutospacing="1" w:after="100" w:afterAutospacing="1"/>
        <w:rPr>
          <w:rFonts w:eastAsia="Times New Roman"/>
          <w:lang w:eastAsia="en-US"/>
        </w:rPr>
      </w:pPr>
      <w:r w:rsidRPr="001D652C">
        <w:rPr>
          <w:rFonts w:eastAsia="Times New Roman"/>
          <w:lang w:eastAsia="en-US"/>
        </w:rPr>
        <w:t>The concept underlying FFSCCRs may be described as an admission-to-grave concept of an upscale retirement community for individuals of moderate to high net worth and income</w:t>
      </w:r>
      <w:r w:rsidR="00587AFC">
        <w:rPr>
          <w:rFonts w:eastAsia="Times New Roman"/>
          <w:lang w:eastAsia="en-US"/>
        </w:rPr>
        <w:t xml:space="preserve"> </w:t>
      </w:r>
      <w:r w:rsidRPr="001D652C">
        <w:rPr>
          <w:rFonts w:eastAsia="Times New Roman"/>
          <w:lang w:eastAsia="en-US"/>
        </w:rPr>
        <w:t>and is premised on residents paying only for the services they receive. The financial viability of such communities is contingent, however, upon applicants disclosing their assets and income prior to admission and contracting to spend down their assets and using their income to private pay for their room, board, and care.[FN2] Only after the assets are exhausted, does the FFSCCR agree to accept payment from Medicaid.</w:t>
      </w:r>
    </w:p>
    <w:p w:rsidR="001D652C" w:rsidRPr="001D652C" w:rsidRDefault="001D652C" w:rsidP="001D652C">
      <w:pPr>
        <w:spacing w:before="100" w:beforeAutospacing="1" w:after="100" w:afterAutospacing="1"/>
        <w:rPr>
          <w:rFonts w:eastAsia="Times New Roman"/>
          <w:lang w:eastAsia="en-US"/>
        </w:rPr>
      </w:pPr>
      <w:r w:rsidRPr="001D652C">
        <w:rPr>
          <w:rFonts w:eastAsia="Times New Roman"/>
          <w:lang w:eastAsia="en-US"/>
        </w:rPr>
        <w:t xml:space="preserve">Stated another way, the continuing viability of such communities is contingent upon a financial structure which is distinct from traditional </w:t>
      </w:r>
      <w:proofErr w:type="spellStart"/>
      <w:r w:rsidRPr="001D652C">
        <w:rPr>
          <w:rFonts w:eastAsia="Times New Roman"/>
          <w:lang w:eastAsia="en-US"/>
        </w:rPr>
        <w:t>stand alone</w:t>
      </w:r>
      <w:proofErr w:type="spellEnd"/>
      <w:r w:rsidRPr="001D652C">
        <w:rPr>
          <w:rFonts w:eastAsia="Times New Roman"/>
          <w:lang w:eastAsia="en-US"/>
        </w:rPr>
        <w:t xml:space="preserve"> nursing homes wherein applicants transfer their assets prior to admission with the sole purpose of qualifying for Medicaid which the traditional nursing home has agreed to accept as payment. Since Medicaid is the primary source of revenue for traditional </w:t>
      </w:r>
      <w:proofErr w:type="spellStart"/>
      <w:r w:rsidRPr="001D652C">
        <w:rPr>
          <w:rFonts w:eastAsia="Times New Roman"/>
          <w:lang w:eastAsia="en-US"/>
        </w:rPr>
        <w:t>stand alone</w:t>
      </w:r>
      <w:proofErr w:type="spellEnd"/>
      <w:r w:rsidRPr="001D652C">
        <w:rPr>
          <w:rFonts w:eastAsia="Times New Roman"/>
          <w:lang w:eastAsia="en-US"/>
        </w:rPr>
        <w:t xml:space="preserve"> nursing homes, such nursing homes are prohibited from requiring, as a condition of admission, that applicants waive their Medicaid rights or from charging the applicant/resident above the Medicaid reimbursement rate (42 USC § 1396r [c][5][A]).</w:t>
      </w:r>
    </w:p>
    <w:p w:rsidR="001D652C" w:rsidRPr="001D652C" w:rsidRDefault="001D652C" w:rsidP="001D652C">
      <w:pPr>
        <w:spacing w:before="100" w:beforeAutospacing="1" w:after="100" w:afterAutospacing="1"/>
        <w:rPr>
          <w:rFonts w:eastAsia="Times New Roman"/>
          <w:lang w:eastAsia="en-US"/>
        </w:rPr>
      </w:pPr>
      <w:r w:rsidRPr="001D652C">
        <w:rPr>
          <w:rFonts w:eastAsia="Times New Roman"/>
          <w:lang w:eastAsia="en-US"/>
        </w:rPr>
        <w:t>By comparison, however, according to 42 USC § 1396r (c</w:t>
      </w:r>
      <w:proofErr w:type="gramStart"/>
      <w:r w:rsidRPr="001D652C">
        <w:rPr>
          <w:rFonts w:eastAsia="Times New Roman"/>
          <w:lang w:eastAsia="en-US"/>
        </w:rPr>
        <w:t>)(</w:t>
      </w:r>
      <w:proofErr w:type="gramEnd"/>
      <w:r w:rsidRPr="001D652C">
        <w:rPr>
          <w:rFonts w:eastAsia="Times New Roman"/>
          <w:lang w:eastAsia="en-US"/>
        </w:rPr>
        <w:t>5)(B)(v), admission contracts for Continuing Care Retirement Communities may require as follows:</w:t>
      </w:r>
    </w:p>
    <w:p w:rsidR="001D652C" w:rsidRPr="001D652C" w:rsidRDefault="001D652C" w:rsidP="001D652C">
      <w:pPr>
        <w:rPr>
          <w:rFonts w:eastAsia="Times New Roman"/>
          <w:lang w:eastAsia="en-US"/>
        </w:rPr>
      </w:pPr>
      <w:r w:rsidRPr="001D652C">
        <w:rPr>
          <w:rFonts w:eastAsia="Times New Roman"/>
          <w:lang w:eastAsia="en-US"/>
        </w:rPr>
        <w:t>(v)Treatment of continuing care retirement communities admission contracts</w:t>
      </w:r>
    </w:p>
    <w:p w:rsidR="00587AFC" w:rsidRDefault="001D652C" w:rsidP="00587AFC">
      <w:pPr>
        <w:rPr>
          <w:rFonts w:eastAsia="Times New Roman"/>
          <w:lang w:eastAsia="en-US"/>
        </w:rPr>
      </w:pPr>
      <w:r w:rsidRPr="001D652C">
        <w:rPr>
          <w:rFonts w:eastAsia="Times New Roman"/>
          <w:lang w:eastAsia="en-US"/>
        </w:rPr>
        <w:br/>
        <w:t xml:space="preserve">Notwithstanding </w:t>
      </w:r>
      <w:proofErr w:type="spellStart"/>
      <w:r w:rsidRPr="001D652C">
        <w:rPr>
          <w:rFonts w:eastAsia="Times New Roman"/>
          <w:lang w:eastAsia="en-US"/>
        </w:rPr>
        <w:t>subclause</w:t>
      </w:r>
      <w:proofErr w:type="spellEnd"/>
      <w:r w:rsidRPr="001D652C">
        <w:rPr>
          <w:rFonts w:eastAsia="Times New Roman"/>
          <w:lang w:eastAsia="en-US"/>
        </w:rPr>
        <w:t xml:space="preserve"> (II) of subparagraph (A</w:t>
      </w:r>
      <w:proofErr w:type="gramStart"/>
      <w:r w:rsidRPr="001D652C">
        <w:rPr>
          <w:rFonts w:eastAsia="Times New Roman"/>
          <w:lang w:eastAsia="en-US"/>
        </w:rPr>
        <w:t>)(</w:t>
      </w:r>
      <w:proofErr w:type="spellStart"/>
      <w:proofErr w:type="gramEnd"/>
      <w:r w:rsidRPr="001D652C">
        <w:rPr>
          <w:rFonts w:eastAsia="Times New Roman"/>
          <w:lang w:eastAsia="en-US"/>
        </w:rPr>
        <w:t>i</w:t>
      </w:r>
      <w:proofErr w:type="spellEnd"/>
      <w:r w:rsidRPr="001D652C">
        <w:rPr>
          <w:rFonts w:eastAsia="Times New Roman"/>
          <w:lang w:eastAsia="en-US"/>
        </w:rPr>
        <w:t>), subject to subsections (c) and (d) of section 1396r-5 of this title, contracts for admission to a State licensed, registered, certified, or equivalent continuing care retirement community or life care community, including services in a nursing facility that is part of such community, may require residents to spend on their care resources declared for the purposes of admission before applying for medical assistance.</w:t>
      </w:r>
      <w:r w:rsidRPr="001D652C">
        <w:rPr>
          <w:rFonts w:eastAsia="Times New Roman"/>
          <w:lang w:eastAsia="en-US"/>
        </w:rPr>
        <w:br/>
      </w:r>
      <w:r w:rsidRPr="001D652C">
        <w:rPr>
          <w:rFonts w:eastAsia="Times New Roman"/>
          <w:lang w:eastAsia="en-US"/>
        </w:rPr>
        <w:br/>
        <w:t>(Emphasis added).</w:t>
      </w:r>
      <w:r w:rsidRPr="001D652C">
        <w:rPr>
          <w:rFonts w:eastAsia="Times New Roman"/>
          <w:lang w:eastAsia="en-US"/>
        </w:rPr>
        <w:br/>
      </w:r>
      <w:r w:rsidRPr="001D652C">
        <w:rPr>
          <w:rFonts w:eastAsia="Times New Roman"/>
          <w:lang w:eastAsia="en-US"/>
        </w:rPr>
        <w:br/>
        <w:t>The Contracts</w:t>
      </w:r>
    </w:p>
    <w:p w:rsidR="00587AFC" w:rsidRDefault="00587AFC" w:rsidP="00587AFC">
      <w:pPr>
        <w:rPr>
          <w:rFonts w:eastAsia="Times New Roman"/>
          <w:lang w:eastAsia="en-US"/>
        </w:rPr>
      </w:pPr>
    </w:p>
    <w:p w:rsidR="001D652C" w:rsidRPr="001D652C" w:rsidRDefault="001D652C" w:rsidP="001D652C">
      <w:pPr>
        <w:rPr>
          <w:rFonts w:eastAsia="Times New Roman"/>
          <w:lang w:eastAsia="en-US"/>
        </w:rPr>
      </w:pPr>
      <w:r w:rsidRPr="001D652C">
        <w:rPr>
          <w:rFonts w:eastAsia="Times New Roman"/>
          <w:lang w:eastAsia="en-US"/>
        </w:rPr>
        <w:t xml:space="preserve">On August 20, 2009, Peter and Hazel </w:t>
      </w:r>
      <w:proofErr w:type="spellStart"/>
      <w:r w:rsidRPr="001D652C">
        <w:rPr>
          <w:rFonts w:eastAsia="Times New Roman"/>
          <w:lang w:eastAsia="en-US"/>
        </w:rPr>
        <w:t>Yezzi</w:t>
      </w:r>
      <w:proofErr w:type="spellEnd"/>
      <w:r w:rsidRPr="001D652C">
        <w:rPr>
          <w:rFonts w:eastAsia="Times New Roman"/>
          <w:lang w:eastAsia="en-US"/>
        </w:rPr>
        <w:t xml:space="preserve"> signed a Fee-For-Service Continuing Care Contract (hereinafter the "Contract"). Also, as required, as part of their application for admission, the </w:t>
      </w:r>
      <w:proofErr w:type="spellStart"/>
      <w:r w:rsidRPr="001D652C">
        <w:rPr>
          <w:rFonts w:eastAsia="Times New Roman"/>
          <w:lang w:eastAsia="en-US"/>
        </w:rPr>
        <w:t>Yezzi's</w:t>
      </w:r>
      <w:proofErr w:type="spellEnd"/>
      <w:r w:rsidRPr="001D652C">
        <w:rPr>
          <w:rFonts w:eastAsia="Times New Roman"/>
          <w:lang w:eastAsia="en-US"/>
        </w:rPr>
        <w:t xml:space="preserve"> disclosed assets of $1 million and annual income of $25,000. </w:t>
      </w:r>
      <w:proofErr w:type="gramStart"/>
      <w:r w:rsidRPr="001D652C">
        <w:rPr>
          <w:rFonts w:eastAsia="Times New Roman"/>
          <w:lang w:eastAsia="en-US"/>
        </w:rPr>
        <w:t xml:space="preserve">Based upon the </w:t>
      </w:r>
      <w:proofErr w:type="spellStart"/>
      <w:r w:rsidRPr="001D652C">
        <w:rPr>
          <w:rFonts w:eastAsia="Times New Roman"/>
          <w:lang w:eastAsia="en-US"/>
        </w:rPr>
        <w:t>Yezzi's</w:t>
      </w:r>
      <w:proofErr w:type="spellEnd"/>
      <w:r w:rsidRPr="001D652C">
        <w:rPr>
          <w:rFonts w:eastAsia="Times New Roman"/>
          <w:lang w:eastAsia="en-US"/>
        </w:rPr>
        <w:t xml:space="preserve"> financial disclosure, Good Shepherd "calculated that it would not need to start subsidizing the cost of the </w:t>
      </w:r>
      <w:proofErr w:type="spellStart"/>
      <w:r w:rsidRPr="001D652C">
        <w:rPr>
          <w:rFonts w:eastAsia="Times New Roman"/>
          <w:lang w:eastAsia="en-US"/>
        </w:rPr>
        <w:t>Yezzi's</w:t>
      </w:r>
      <w:proofErr w:type="spellEnd"/>
      <w:r w:rsidRPr="001D652C">
        <w:rPr>
          <w:rFonts w:eastAsia="Times New Roman"/>
          <w:lang w:eastAsia="en-US"/>
        </w:rPr>
        <w:t xml:space="preserve"> room, board, and care until after 15.2 years (Keenan Affidavit, ¶ 15).</w:t>
      </w:r>
      <w:proofErr w:type="gramEnd"/>
      <w:r w:rsidRPr="001D652C">
        <w:rPr>
          <w:rFonts w:eastAsia="Times New Roman"/>
          <w:lang w:eastAsia="en-US"/>
        </w:rPr>
        <w:t xml:space="preserve"> In 2010, Mr. and Mrs. </w:t>
      </w:r>
      <w:proofErr w:type="spellStart"/>
      <w:r w:rsidRPr="001D652C">
        <w:rPr>
          <w:rFonts w:eastAsia="Times New Roman"/>
          <w:lang w:eastAsia="en-US"/>
        </w:rPr>
        <w:t>Yezzi</w:t>
      </w:r>
      <w:proofErr w:type="spellEnd"/>
      <w:r w:rsidRPr="001D652C">
        <w:rPr>
          <w:rFonts w:eastAsia="Times New Roman"/>
          <w:lang w:eastAsia="en-US"/>
        </w:rPr>
        <w:t xml:space="preserve"> moved into the Village and at first both resided in the independent living section. During the early phase of their admission while living in the independent unit, the </w:t>
      </w:r>
      <w:proofErr w:type="spellStart"/>
      <w:r w:rsidRPr="001D652C">
        <w:rPr>
          <w:rFonts w:eastAsia="Times New Roman"/>
          <w:lang w:eastAsia="en-US"/>
        </w:rPr>
        <w:t>Yezzis</w:t>
      </w:r>
      <w:proofErr w:type="spellEnd"/>
      <w:r w:rsidRPr="001D652C">
        <w:rPr>
          <w:rFonts w:eastAsia="Times New Roman"/>
          <w:lang w:eastAsia="en-US"/>
        </w:rPr>
        <w:t xml:space="preserve"> paid the monthly fee as required by the Contract.</w:t>
      </w:r>
      <w:r w:rsidRPr="001D652C">
        <w:rPr>
          <w:rFonts w:eastAsia="Times New Roman"/>
          <w:lang w:eastAsia="en-US"/>
        </w:rPr>
        <w:br/>
      </w:r>
      <w:r w:rsidRPr="001D652C">
        <w:rPr>
          <w:rFonts w:eastAsia="Times New Roman"/>
          <w:lang w:eastAsia="en-US"/>
        </w:rPr>
        <w:lastRenderedPageBreak/>
        <w:br/>
        <w:t>The Alleged Breach</w:t>
      </w:r>
    </w:p>
    <w:p w:rsidR="001D652C" w:rsidRPr="001D652C" w:rsidRDefault="001D652C" w:rsidP="001D652C">
      <w:pPr>
        <w:spacing w:before="100" w:beforeAutospacing="1" w:after="100" w:afterAutospacing="1"/>
        <w:rPr>
          <w:rFonts w:eastAsia="Times New Roman"/>
          <w:lang w:eastAsia="en-US"/>
        </w:rPr>
      </w:pPr>
      <w:r w:rsidRPr="001D652C">
        <w:rPr>
          <w:rFonts w:eastAsia="Times New Roman"/>
          <w:lang w:eastAsia="en-US"/>
        </w:rPr>
        <w:t xml:space="preserve">In October 2012, Mrs. </w:t>
      </w:r>
      <w:proofErr w:type="spellStart"/>
      <w:r w:rsidRPr="001D652C">
        <w:rPr>
          <w:rFonts w:eastAsia="Times New Roman"/>
          <w:lang w:eastAsia="en-US"/>
        </w:rPr>
        <w:t>Yezzi</w:t>
      </w:r>
      <w:proofErr w:type="spellEnd"/>
      <w:r w:rsidRPr="001D652C">
        <w:rPr>
          <w:rFonts w:eastAsia="Times New Roman"/>
          <w:lang w:eastAsia="en-US"/>
        </w:rPr>
        <w:t xml:space="preserve"> was permanently moved to the skilled nursing unit where she remained until her death in January 2014</w:t>
      </w:r>
      <w:proofErr w:type="gramStart"/>
      <w:r w:rsidRPr="001D652C">
        <w:rPr>
          <w:rFonts w:eastAsia="Times New Roman"/>
          <w:lang w:eastAsia="en-US"/>
        </w:rPr>
        <w:t>.[</w:t>
      </w:r>
      <w:proofErr w:type="gramEnd"/>
      <w:r w:rsidRPr="001D652C">
        <w:rPr>
          <w:rFonts w:eastAsia="Times New Roman"/>
          <w:lang w:eastAsia="en-US"/>
        </w:rPr>
        <w:t xml:space="preserve">FN3] Good Shepherd billed the </w:t>
      </w:r>
      <w:proofErr w:type="spellStart"/>
      <w:r w:rsidRPr="001D652C">
        <w:rPr>
          <w:rFonts w:eastAsia="Times New Roman"/>
          <w:lang w:eastAsia="en-US"/>
        </w:rPr>
        <w:t>Yezzis</w:t>
      </w:r>
      <w:proofErr w:type="spellEnd"/>
      <w:r w:rsidRPr="001D652C">
        <w:rPr>
          <w:rFonts w:eastAsia="Times New Roman"/>
          <w:lang w:eastAsia="en-US"/>
        </w:rPr>
        <w:t xml:space="preserve"> for Mrs. </w:t>
      </w:r>
      <w:proofErr w:type="spellStart"/>
      <w:r w:rsidRPr="001D652C">
        <w:rPr>
          <w:rFonts w:eastAsia="Times New Roman"/>
          <w:lang w:eastAsia="en-US"/>
        </w:rPr>
        <w:t>Yezzi's</w:t>
      </w:r>
      <w:proofErr w:type="spellEnd"/>
      <w:r w:rsidRPr="001D652C">
        <w:rPr>
          <w:rFonts w:eastAsia="Times New Roman"/>
          <w:lang w:eastAsia="en-US"/>
        </w:rPr>
        <w:t xml:space="preserve"> room, board, and care in the skilled nursing unit care at private pay rates. It is undisputed that the </w:t>
      </w:r>
      <w:proofErr w:type="spellStart"/>
      <w:r w:rsidRPr="001D652C">
        <w:rPr>
          <w:rFonts w:eastAsia="Times New Roman"/>
          <w:lang w:eastAsia="en-US"/>
        </w:rPr>
        <w:t>Yezzis</w:t>
      </w:r>
      <w:proofErr w:type="spellEnd"/>
      <w:r w:rsidRPr="001D652C">
        <w:rPr>
          <w:rFonts w:eastAsia="Times New Roman"/>
          <w:lang w:eastAsia="en-US"/>
        </w:rPr>
        <w:t xml:space="preserve"> have not paid these bills and the outstanding amount as of November 2013 was $137,141.72.</w:t>
      </w:r>
    </w:p>
    <w:p w:rsidR="001D652C" w:rsidRPr="001D652C" w:rsidRDefault="001D652C" w:rsidP="00587AFC">
      <w:pPr>
        <w:spacing w:before="100" w:beforeAutospacing="1" w:after="100" w:afterAutospacing="1"/>
        <w:rPr>
          <w:rFonts w:eastAsia="Times New Roman"/>
          <w:lang w:eastAsia="en-US"/>
        </w:rPr>
      </w:pPr>
      <w:r w:rsidRPr="001D652C">
        <w:rPr>
          <w:rFonts w:eastAsia="Times New Roman"/>
          <w:lang w:eastAsia="en-US"/>
        </w:rPr>
        <w:t xml:space="preserve">In January 2013, Peter </w:t>
      </w:r>
      <w:proofErr w:type="spellStart"/>
      <w:r w:rsidRPr="001D652C">
        <w:rPr>
          <w:rFonts w:eastAsia="Times New Roman"/>
          <w:lang w:eastAsia="en-US"/>
        </w:rPr>
        <w:t>Yezzi</w:t>
      </w:r>
      <w:proofErr w:type="spellEnd"/>
      <w:r w:rsidRPr="001D652C">
        <w:rPr>
          <w:rFonts w:eastAsia="Times New Roman"/>
          <w:lang w:eastAsia="en-US"/>
        </w:rPr>
        <w:t xml:space="preserve"> and Joseph </w:t>
      </w:r>
      <w:proofErr w:type="spellStart"/>
      <w:r w:rsidRPr="001D652C">
        <w:rPr>
          <w:rFonts w:eastAsia="Times New Roman"/>
          <w:lang w:eastAsia="en-US"/>
        </w:rPr>
        <w:t>Yezzi</w:t>
      </w:r>
      <w:proofErr w:type="spellEnd"/>
      <w:r w:rsidRPr="001D652C">
        <w:rPr>
          <w:rFonts w:eastAsia="Times New Roman"/>
          <w:lang w:eastAsia="en-US"/>
        </w:rPr>
        <w:t xml:space="preserve"> applied to the Broome County Department of Social Services for Medicaid eligibility for Hazel </w:t>
      </w:r>
      <w:proofErr w:type="spellStart"/>
      <w:r w:rsidRPr="001D652C">
        <w:rPr>
          <w:rFonts w:eastAsia="Times New Roman"/>
          <w:lang w:eastAsia="en-US"/>
        </w:rPr>
        <w:t>Yezzi</w:t>
      </w:r>
      <w:proofErr w:type="spellEnd"/>
      <w:r w:rsidRPr="001D652C">
        <w:rPr>
          <w:rFonts w:eastAsia="Times New Roman"/>
          <w:lang w:eastAsia="en-US"/>
        </w:rPr>
        <w:t xml:space="preserve">. In March 2013, Good Shepherd received a letter purportedly from Hazel </w:t>
      </w:r>
      <w:proofErr w:type="spellStart"/>
      <w:r w:rsidRPr="001D652C">
        <w:rPr>
          <w:rFonts w:eastAsia="Times New Roman"/>
          <w:lang w:eastAsia="en-US"/>
        </w:rPr>
        <w:t>Yezzi</w:t>
      </w:r>
      <w:proofErr w:type="spellEnd"/>
      <w:r w:rsidRPr="001D652C">
        <w:rPr>
          <w:rFonts w:eastAsia="Times New Roman"/>
          <w:lang w:eastAsia="en-US"/>
        </w:rPr>
        <w:t xml:space="preserve"> advising that she has transferred some of her jointly held assets to her husband's name alone - assets that had been listed and pledged on their admission application to Good Shepherd. On April 25, 2013, Mrs. </w:t>
      </w:r>
      <w:proofErr w:type="spellStart"/>
      <w:r w:rsidRPr="001D652C">
        <w:rPr>
          <w:rFonts w:eastAsia="Times New Roman"/>
          <w:lang w:eastAsia="en-US"/>
        </w:rPr>
        <w:t>Yezzi's</w:t>
      </w:r>
      <w:proofErr w:type="spellEnd"/>
      <w:r w:rsidR="00587AFC">
        <w:rPr>
          <w:rFonts w:eastAsia="Times New Roman"/>
          <w:lang w:eastAsia="en-US"/>
        </w:rPr>
        <w:t xml:space="preserve"> </w:t>
      </w:r>
      <w:r w:rsidRPr="001D652C">
        <w:rPr>
          <w:rFonts w:eastAsia="Times New Roman"/>
          <w:lang w:eastAsia="en-US"/>
        </w:rPr>
        <w:t xml:space="preserve">Medicaid application was initially denied on the ground that the entrance fee paid to Good Shepherd was an available resource. Thereafter, in July 2013, Medicaid coverage for Mrs. </w:t>
      </w:r>
      <w:proofErr w:type="spellStart"/>
      <w:r w:rsidRPr="001D652C">
        <w:rPr>
          <w:rFonts w:eastAsia="Times New Roman"/>
          <w:lang w:eastAsia="en-US"/>
        </w:rPr>
        <w:t>Yezzi</w:t>
      </w:r>
      <w:proofErr w:type="spellEnd"/>
      <w:r w:rsidRPr="001D652C">
        <w:rPr>
          <w:rFonts w:eastAsia="Times New Roman"/>
          <w:lang w:eastAsia="en-US"/>
        </w:rPr>
        <w:t xml:space="preserve"> was subsequently approved.</w:t>
      </w:r>
    </w:p>
    <w:p w:rsidR="001D652C" w:rsidRPr="001D652C" w:rsidRDefault="001D652C" w:rsidP="00587AFC">
      <w:pPr>
        <w:spacing w:before="100" w:beforeAutospacing="1" w:after="100" w:afterAutospacing="1"/>
        <w:rPr>
          <w:rFonts w:eastAsia="Times New Roman"/>
          <w:lang w:eastAsia="en-US"/>
        </w:rPr>
      </w:pPr>
      <w:r w:rsidRPr="001D652C">
        <w:rPr>
          <w:rFonts w:eastAsia="Times New Roman"/>
          <w:lang w:eastAsia="en-US"/>
        </w:rPr>
        <w:t xml:space="preserve">Good Shepherd alleges that its bills should have been paid from Mr. and Mrs. </w:t>
      </w:r>
      <w:proofErr w:type="spellStart"/>
      <w:r w:rsidRPr="001D652C">
        <w:rPr>
          <w:rFonts w:eastAsia="Times New Roman"/>
          <w:lang w:eastAsia="en-US"/>
        </w:rPr>
        <w:t>Yezzi's</w:t>
      </w:r>
      <w:proofErr w:type="spellEnd"/>
      <w:r w:rsidRPr="001D652C">
        <w:rPr>
          <w:rFonts w:eastAsia="Times New Roman"/>
          <w:lang w:eastAsia="en-US"/>
        </w:rPr>
        <w:t xml:space="preserve"> personal assets disclosed on their admission application, while the </w:t>
      </w:r>
      <w:proofErr w:type="spellStart"/>
      <w:r w:rsidRPr="001D652C">
        <w:rPr>
          <w:rFonts w:eastAsia="Times New Roman"/>
          <w:lang w:eastAsia="en-US"/>
        </w:rPr>
        <w:t>Yezzis</w:t>
      </w:r>
      <w:proofErr w:type="spellEnd"/>
      <w:r w:rsidRPr="001D652C">
        <w:rPr>
          <w:rFonts w:eastAsia="Times New Roman"/>
          <w:lang w:eastAsia="en-US"/>
        </w:rPr>
        <w:t xml:space="preserve"> argue that Good [*3]Shepherd is legally obligated to accept the Medicaid payments in satisfaction of the outstanding bills. Good Shepherd has not accepted Medicaid payments for the outstanding balance because Good Shepherd would have to certify that it was accepting Medicaid payments in full satisfaction of the outstanding charges for Mrs. </w:t>
      </w:r>
      <w:proofErr w:type="spellStart"/>
      <w:r w:rsidRPr="001D652C">
        <w:rPr>
          <w:rFonts w:eastAsia="Times New Roman"/>
          <w:lang w:eastAsia="en-US"/>
        </w:rPr>
        <w:t>Yezzi</w:t>
      </w:r>
      <w:proofErr w:type="spellEnd"/>
      <w:r w:rsidRPr="001D652C">
        <w:rPr>
          <w:rFonts w:eastAsia="Times New Roman"/>
          <w:lang w:eastAsia="en-US"/>
        </w:rPr>
        <w:t xml:space="preserve"> which it declines to accept.</w:t>
      </w:r>
      <w:r w:rsidRPr="001D652C">
        <w:rPr>
          <w:rFonts w:eastAsia="Times New Roman"/>
          <w:lang w:eastAsia="en-US"/>
        </w:rPr>
        <w:br/>
      </w:r>
      <w:r w:rsidRPr="001D652C">
        <w:rPr>
          <w:rFonts w:eastAsia="Times New Roman"/>
          <w:lang w:eastAsia="en-US"/>
        </w:rPr>
        <w:br/>
        <w:t>The Pleadings</w:t>
      </w:r>
    </w:p>
    <w:p w:rsidR="001D652C" w:rsidRPr="001D652C" w:rsidRDefault="001D652C" w:rsidP="001D652C">
      <w:pPr>
        <w:spacing w:before="100" w:beforeAutospacing="1" w:after="100" w:afterAutospacing="1"/>
        <w:rPr>
          <w:rFonts w:eastAsia="Times New Roman"/>
          <w:lang w:eastAsia="en-US"/>
        </w:rPr>
      </w:pPr>
      <w:r w:rsidRPr="001D652C">
        <w:rPr>
          <w:rFonts w:eastAsia="Times New Roman"/>
          <w:lang w:eastAsia="en-US"/>
        </w:rPr>
        <w:t>Good Shepherd filed a summons and complaint on September 12, 2013 alleging five causes of action summarized as follows:</w:t>
      </w:r>
    </w:p>
    <w:p w:rsidR="001D652C" w:rsidRPr="001D652C" w:rsidRDefault="001D652C" w:rsidP="001D652C">
      <w:pPr>
        <w:rPr>
          <w:rFonts w:eastAsia="Times New Roman"/>
          <w:lang w:eastAsia="en-US"/>
        </w:rPr>
      </w:pPr>
      <w:r w:rsidRPr="001D652C">
        <w:rPr>
          <w:rFonts w:eastAsia="Times New Roman"/>
          <w:lang w:eastAsia="en-US"/>
        </w:rPr>
        <w:t>1:"[a] declaration that its contracts and actions fully comply with federal law, namely the Medicare Act"</w:t>
      </w:r>
      <w:proofErr w:type="gramStart"/>
      <w:r w:rsidRPr="001D652C">
        <w:rPr>
          <w:rFonts w:eastAsia="Times New Roman"/>
          <w:lang w:eastAsia="en-US"/>
        </w:rPr>
        <w:t>;</w:t>
      </w:r>
      <w:proofErr w:type="gramEnd"/>
      <w:r w:rsidRPr="001D652C">
        <w:rPr>
          <w:rFonts w:eastAsia="Times New Roman"/>
          <w:lang w:eastAsia="en-US"/>
        </w:rPr>
        <w:br/>
      </w:r>
      <w:r w:rsidRPr="001D652C">
        <w:rPr>
          <w:rFonts w:eastAsia="Times New Roman"/>
          <w:lang w:eastAsia="en-US"/>
        </w:rPr>
        <w:br/>
        <w:t>2:Breach of contract and admission agreement; plus attorneys' fees and expulsion;</w:t>
      </w:r>
      <w:r w:rsidRPr="001D652C">
        <w:rPr>
          <w:rFonts w:eastAsia="Times New Roman"/>
          <w:lang w:eastAsia="en-US"/>
        </w:rPr>
        <w:br/>
      </w:r>
      <w:r w:rsidRPr="001D652C">
        <w:rPr>
          <w:rFonts w:eastAsia="Times New Roman"/>
          <w:lang w:eastAsia="en-US"/>
        </w:rPr>
        <w:br/>
        <w:t>3:Violation of Debtor &amp; Creditor Law;</w:t>
      </w:r>
      <w:r w:rsidRPr="001D652C">
        <w:rPr>
          <w:rFonts w:eastAsia="Times New Roman"/>
          <w:lang w:eastAsia="en-US"/>
        </w:rPr>
        <w:br/>
      </w:r>
      <w:r w:rsidRPr="001D652C">
        <w:rPr>
          <w:rFonts w:eastAsia="Times New Roman"/>
          <w:lang w:eastAsia="en-US"/>
        </w:rPr>
        <w:br/>
        <w:t>4:Fraud;</w:t>
      </w:r>
      <w:r w:rsidRPr="001D652C">
        <w:rPr>
          <w:rFonts w:eastAsia="Times New Roman"/>
          <w:lang w:eastAsia="en-US"/>
        </w:rPr>
        <w:br/>
      </w:r>
      <w:r w:rsidRPr="001D652C">
        <w:rPr>
          <w:rFonts w:eastAsia="Times New Roman"/>
          <w:lang w:eastAsia="en-US"/>
        </w:rPr>
        <w:br/>
        <w:t xml:space="preserve">5:Conspiracy and fraud against Joseph </w:t>
      </w:r>
      <w:proofErr w:type="spellStart"/>
      <w:r w:rsidRPr="001D652C">
        <w:rPr>
          <w:rFonts w:eastAsia="Times New Roman"/>
          <w:lang w:eastAsia="en-US"/>
        </w:rPr>
        <w:t>Yezzi</w:t>
      </w:r>
      <w:proofErr w:type="spellEnd"/>
      <w:r w:rsidRPr="001D652C">
        <w:rPr>
          <w:rFonts w:eastAsia="Times New Roman"/>
          <w:lang w:eastAsia="en-US"/>
        </w:rPr>
        <w:t>, plus costs, attorneys' fees, and punitive damages.</w:t>
      </w:r>
    </w:p>
    <w:p w:rsidR="001D652C" w:rsidRPr="001D652C" w:rsidRDefault="001D652C" w:rsidP="00587AFC">
      <w:pPr>
        <w:spacing w:before="100" w:beforeAutospacing="1" w:after="100" w:afterAutospacing="1"/>
        <w:rPr>
          <w:rFonts w:eastAsia="Times New Roman"/>
          <w:lang w:eastAsia="en-US"/>
        </w:rPr>
      </w:pPr>
      <w:r w:rsidRPr="001D652C">
        <w:rPr>
          <w:rFonts w:eastAsia="Times New Roman"/>
          <w:lang w:eastAsia="en-US"/>
        </w:rPr>
        <w:t xml:space="preserve">On October 7, 2013, the </w:t>
      </w:r>
      <w:proofErr w:type="spellStart"/>
      <w:r w:rsidRPr="001D652C">
        <w:rPr>
          <w:rFonts w:eastAsia="Times New Roman"/>
          <w:lang w:eastAsia="en-US"/>
        </w:rPr>
        <w:t>Yezzis</w:t>
      </w:r>
      <w:proofErr w:type="spellEnd"/>
      <w:r w:rsidRPr="001D652C">
        <w:rPr>
          <w:rFonts w:eastAsia="Times New Roman"/>
          <w:lang w:eastAsia="en-US"/>
        </w:rPr>
        <w:t xml:space="preserve"> interposed an Answer with Counterclaims as follows</w:t>
      </w:r>
      <w:proofErr w:type="gramStart"/>
      <w:r w:rsidRPr="001D652C">
        <w:rPr>
          <w:rFonts w:eastAsia="Times New Roman"/>
          <w:lang w:eastAsia="en-US"/>
        </w:rPr>
        <w:t>:</w:t>
      </w:r>
      <w:proofErr w:type="gramEnd"/>
      <w:r w:rsidRPr="001D652C">
        <w:rPr>
          <w:rFonts w:eastAsia="Times New Roman"/>
          <w:lang w:eastAsia="en-US"/>
        </w:rPr>
        <w:br/>
      </w:r>
      <w:r w:rsidRPr="001D652C">
        <w:rPr>
          <w:rFonts w:eastAsia="Times New Roman"/>
          <w:lang w:eastAsia="en-US"/>
        </w:rPr>
        <w:br/>
      </w:r>
      <w:r w:rsidRPr="001D652C">
        <w:rPr>
          <w:rFonts w:eastAsia="Times New Roman"/>
          <w:lang w:eastAsia="en-US"/>
        </w:rPr>
        <w:lastRenderedPageBreak/>
        <w:t>1:Declaratory Judgment [that Good Shepherd violated federal/state laws]</w:t>
      </w:r>
      <w:r w:rsidRPr="001D652C">
        <w:rPr>
          <w:rFonts w:eastAsia="Times New Roman"/>
          <w:lang w:eastAsia="en-US"/>
        </w:rPr>
        <w:br/>
      </w:r>
      <w:r w:rsidRPr="001D652C">
        <w:rPr>
          <w:rFonts w:eastAsia="Times New Roman"/>
          <w:lang w:eastAsia="en-US"/>
        </w:rPr>
        <w:br/>
        <w:t>2:General Business Law § 349 [deceptive business practice]</w:t>
      </w:r>
      <w:r w:rsidRPr="001D652C">
        <w:rPr>
          <w:rFonts w:eastAsia="Times New Roman"/>
          <w:lang w:eastAsia="en-US"/>
        </w:rPr>
        <w:br/>
      </w:r>
      <w:r w:rsidRPr="001D652C">
        <w:rPr>
          <w:rFonts w:eastAsia="Times New Roman"/>
          <w:lang w:eastAsia="en-US"/>
        </w:rPr>
        <w:br/>
        <w:t>3:Breach of contract, plus attorneys' fees, costs/disbursements.</w:t>
      </w:r>
    </w:p>
    <w:p w:rsidR="001D652C" w:rsidRPr="001D652C" w:rsidRDefault="001D652C" w:rsidP="00587AFC">
      <w:pPr>
        <w:spacing w:before="100" w:beforeAutospacing="1" w:after="100" w:afterAutospacing="1"/>
        <w:rPr>
          <w:rFonts w:eastAsia="Times New Roman"/>
          <w:u w:val="single"/>
          <w:lang w:eastAsia="en-US"/>
        </w:rPr>
      </w:pPr>
      <w:r w:rsidRPr="001D652C">
        <w:rPr>
          <w:rFonts w:eastAsia="Times New Roman"/>
          <w:b/>
          <w:lang w:eastAsia="en-US"/>
        </w:rPr>
        <w:t>DISCUSSION</w:t>
      </w:r>
      <w:r w:rsidRPr="001D652C">
        <w:rPr>
          <w:rFonts w:eastAsia="Times New Roman"/>
          <w:b/>
          <w:lang w:eastAsia="en-US"/>
        </w:rPr>
        <w:br/>
      </w:r>
      <w:r w:rsidRPr="001D652C">
        <w:rPr>
          <w:rFonts w:eastAsia="Times New Roman"/>
          <w:lang w:eastAsia="en-US"/>
        </w:rPr>
        <w:br/>
      </w:r>
      <w:r w:rsidRPr="001D652C">
        <w:rPr>
          <w:rFonts w:eastAsia="Times New Roman"/>
          <w:u w:val="single"/>
          <w:lang w:eastAsia="en-US"/>
        </w:rPr>
        <w:t>I.</w:t>
      </w:r>
      <w:r w:rsidR="00FA340C" w:rsidRPr="00FA340C">
        <w:rPr>
          <w:rFonts w:eastAsia="Times New Roman"/>
          <w:u w:val="single"/>
          <w:lang w:eastAsia="en-US"/>
        </w:rPr>
        <w:t xml:space="preserve"> </w:t>
      </w:r>
      <w:r w:rsidRPr="001D652C">
        <w:rPr>
          <w:rFonts w:eastAsia="Times New Roman"/>
          <w:u w:val="single"/>
          <w:lang w:eastAsia="en-US"/>
        </w:rPr>
        <w:t>Declaratory action/Breach of contract</w:t>
      </w:r>
    </w:p>
    <w:p w:rsidR="001D652C" w:rsidRPr="001D652C" w:rsidRDefault="001D652C" w:rsidP="001D652C">
      <w:pPr>
        <w:spacing w:before="100" w:beforeAutospacing="1" w:after="100" w:afterAutospacing="1"/>
        <w:rPr>
          <w:rFonts w:eastAsia="Times New Roman"/>
          <w:lang w:eastAsia="en-US"/>
        </w:rPr>
      </w:pPr>
      <w:r w:rsidRPr="001D652C">
        <w:rPr>
          <w:rFonts w:eastAsia="Times New Roman"/>
          <w:lang w:eastAsia="en-US"/>
        </w:rPr>
        <w:t>The court will simultaneously address plaintiff's motion for a declaratory judgment on its first cause of action that its contracts and actions fully comply with the Medicare Act; defendants' cross-motion for a declaratory judgment that plaintiff's contracts and actions violated federal/state laws; and the parties' respective breach of contract claims.</w:t>
      </w:r>
    </w:p>
    <w:p w:rsidR="001D652C" w:rsidRPr="001D652C" w:rsidRDefault="001D652C" w:rsidP="00587AFC">
      <w:pPr>
        <w:spacing w:before="100" w:beforeAutospacing="1" w:after="100" w:afterAutospacing="1"/>
        <w:rPr>
          <w:rFonts w:eastAsia="Times New Roman"/>
          <w:lang w:eastAsia="en-US"/>
        </w:rPr>
      </w:pPr>
      <w:r w:rsidRPr="001D652C">
        <w:rPr>
          <w:rFonts w:eastAsia="Times New Roman"/>
          <w:lang w:eastAsia="en-US"/>
        </w:rPr>
        <w:t xml:space="preserve">Initially, the court addresses defendants' argument that the Admission Agreement replaces the Contract, rather than supplements the same as contended by Good Shepherd. While not binding on this court, the court is mindful of the letter from Michael </w:t>
      </w:r>
      <w:proofErr w:type="spellStart"/>
      <w:r w:rsidRPr="001D652C">
        <w:rPr>
          <w:rFonts w:eastAsia="Times New Roman"/>
          <w:lang w:eastAsia="en-US"/>
        </w:rPr>
        <w:t>Heeran</w:t>
      </w:r>
      <w:proofErr w:type="spellEnd"/>
      <w:r w:rsidRPr="001D652C">
        <w:rPr>
          <w:rFonts w:eastAsia="Times New Roman"/>
          <w:lang w:eastAsia="en-US"/>
        </w:rPr>
        <w:t>, the Director of the New York State Department of Health Bureau of Nursing Home Licensure and Certification which states in part as follows:</w:t>
      </w:r>
      <w:r w:rsidRPr="001D652C">
        <w:rPr>
          <w:rFonts w:eastAsia="Times New Roman"/>
          <w:lang w:eastAsia="en-US"/>
        </w:rPr>
        <w:br/>
      </w:r>
      <w:r w:rsidRPr="001D652C">
        <w:rPr>
          <w:rFonts w:eastAsia="Times New Roman"/>
          <w:lang w:eastAsia="en-US"/>
        </w:rPr>
        <w:br/>
        <w:t>[r]</w:t>
      </w:r>
      <w:proofErr w:type="spellStart"/>
      <w:r w:rsidRPr="001D652C">
        <w:rPr>
          <w:rFonts w:eastAsia="Times New Roman"/>
          <w:lang w:eastAsia="en-US"/>
        </w:rPr>
        <w:t>esidents</w:t>
      </w:r>
      <w:proofErr w:type="spellEnd"/>
      <w:r w:rsidRPr="001D652C">
        <w:rPr>
          <w:rFonts w:eastAsia="Times New Roman"/>
          <w:lang w:eastAsia="en-US"/>
        </w:rPr>
        <w:t xml:space="preserve"> are considered to be covered under the fee-for-service contract until such time as they meet one of the conditions for terminating the contract as defined in the contract terms....Contracts that are signed as part of the long-term care [*4]services defined within the fee-for-service contract would be considered supplemental to the fee-for-service contract. Specifically, any residents receiving services at the Article 7 adult care facility or Article 28 skilled nursing facility that were purchased as part of their fee-for-service contract are still considered residents of the continuing care retirement community covered under Article 46-A and will not be considered an outside admission to facility.</w:t>
      </w:r>
      <w:r w:rsidRPr="001D652C">
        <w:rPr>
          <w:rFonts w:eastAsia="Times New Roman"/>
          <w:lang w:eastAsia="en-US"/>
        </w:rPr>
        <w:br/>
      </w:r>
      <w:r w:rsidRPr="001D652C">
        <w:rPr>
          <w:rFonts w:eastAsia="Times New Roman"/>
          <w:lang w:eastAsia="en-US"/>
        </w:rPr>
        <w:br/>
        <w:t>(Plaintiff's Exhibit H [emphasis added]).</w:t>
      </w:r>
    </w:p>
    <w:p w:rsidR="001D652C" w:rsidRPr="001D652C" w:rsidRDefault="001D652C" w:rsidP="001D652C">
      <w:pPr>
        <w:spacing w:before="100" w:beforeAutospacing="1" w:after="100" w:afterAutospacing="1"/>
        <w:rPr>
          <w:rFonts w:eastAsia="Times New Roman"/>
          <w:lang w:eastAsia="en-US"/>
        </w:rPr>
      </w:pPr>
      <w:r w:rsidRPr="001D652C">
        <w:rPr>
          <w:rFonts w:eastAsia="Times New Roman"/>
          <w:lang w:eastAsia="en-US"/>
        </w:rPr>
        <w:t>The court finds that the Admission Agreement clearly covers matters relevant to the nursing facility and is a supplement to the original and continuing Contract. The Contract itself remains in effect throughout a resident's tenure, no matter the level of care. Thus, the court finds that the Contract and Admission Agreement should be read together and that the Admission Agreement supplements the original Contract, and does not supersede the same.</w:t>
      </w:r>
    </w:p>
    <w:p w:rsidR="001D652C" w:rsidRPr="001D652C" w:rsidRDefault="001D652C" w:rsidP="00587AFC">
      <w:pPr>
        <w:spacing w:before="100" w:beforeAutospacing="1" w:after="100" w:afterAutospacing="1"/>
        <w:rPr>
          <w:rFonts w:eastAsia="Times New Roman"/>
          <w:lang w:eastAsia="en-US"/>
        </w:rPr>
      </w:pPr>
      <w:r w:rsidRPr="001D652C">
        <w:rPr>
          <w:rFonts w:eastAsia="Times New Roman"/>
          <w:lang w:eastAsia="en-US"/>
        </w:rPr>
        <w:t xml:space="preserve">Next, the court finds no ambiguity in the Contract and Admission Agreement. Both documents explicitly state that the </w:t>
      </w:r>
      <w:proofErr w:type="spellStart"/>
      <w:r w:rsidRPr="001D652C">
        <w:rPr>
          <w:rFonts w:eastAsia="Times New Roman"/>
          <w:lang w:eastAsia="en-US"/>
        </w:rPr>
        <w:t>Yezzis</w:t>
      </w:r>
      <w:proofErr w:type="spellEnd"/>
      <w:r w:rsidRPr="001D652C">
        <w:rPr>
          <w:rFonts w:eastAsia="Times New Roman"/>
          <w:lang w:eastAsia="en-US"/>
        </w:rPr>
        <w:t xml:space="preserve"> were and are required to expend the assets that they pledged upon their admission to the Facility to private pay until such time as Medicaid is necessary (Contract, § 3; § 9(C)(8); §11(B)(2); and §15(F); Admission Agreement III (A), (B), (D)(3); IV(B)(1), Addendum X). For instance, the following </w:t>
      </w:r>
      <w:r w:rsidRPr="001D652C">
        <w:rPr>
          <w:rFonts w:eastAsia="Times New Roman"/>
          <w:lang w:eastAsia="en-US"/>
        </w:rPr>
        <w:lastRenderedPageBreak/>
        <w:t xml:space="preserve">sections of said Contract specifically state that the </w:t>
      </w:r>
      <w:proofErr w:type="spellStart"/>
      <w:r w:rsidRPr="001D652C">
        <w:rPr>
          <w:rFonts w:eastAsia="Times New Roman"/>
          <w:lang w:eastAsia="en-US"/>
        </w:rPr>
        <w:t>Yezzis</w:t>
      </w:r>
      <w:proofErr w:type="spellEnd"/>
      <w:r w:rsidRPr="001D652C">
        <w:rPr>
          <w:rFonts w:eastAsia="Times New Roman"/>
          <w:lang w:eastAsia="en-US"/>
        </w:rPr>
        <w:t xml:space="preserve"> were required to spend the assets that they pledged upon application</w:t>
      </w:r>
      <w:proofErr w:type="gramStart"/>
      <w:r w:rsidRPr="001D652C">
        <w:rPr>
          <w:rFonts w:eastAsia="Times New Roman"/>
          <w:lang w:eastAsia="en-US"/>
        </w:rPr>
        <w:t>:</w:t>
      </w:r>
      <w:proofErr w:type="gramEnd"/>
      <w:r w:rsidRPr="001D652C">
        <w:rPr>
          <w:rFonts w:eastAsia="Times New Roman"/>
          <w:lang w:eastAsia="en-US"/>
        </w:rPr>
        <w:br/>
      </w:r>
      <w:r w:rsidRPr="001D652C">
        <w:rPr>
          <w:rFonts w:eastAsia="Times New Roman"/>
          <w:lang w:eastAsia="en-US"/>
        </w:rPr>
        <w:br/>
        <w:t>¶ 3:Specifications</w:t>
      </w:r>
      <w:r w:rsidRPr="001D652C">
        <w:rPr>
          <w:rFonts w:eastAsia="Times New Roman"/>
          <w:lang w:eastAsia="en-US"/>
        </w:rPr>
        <w:br/>
      </w:r>
      <w:r w:rsidRPr="001D652C">
        <w:rPr>
          <w:rFonts w:eastAsia="Times New Roman"/>
          <w:lang w:eastAsia="en-US"/>
        </w:rPr>
        <w:br/>
        <w:t>...the Entrance Fee....for your unit is $143,850, and the Single Person Monthly Care Fee (herein the "Monthly Fee") is $2,150. If applicable the additional Second Person Monthly Fee is $400.</w:t>
      </w:r>
      <w:r w:rsidRPr="001D652C">
        <w:rPr>
          <w:rFonts w:eastAsia="Times New Roman"/>
          <w:lang w:eastAsia="en-US"/>
        </w:rPr>
        <w:br/>
      </w:r>
      <w:r w:rsidRPr="001D652C">
        <w:rPr>
          <w:rFonts w:eastAsia="Times New Roman"/>
          <w:lang w:eastAsia="en-US"/>
        </w:rPr>
        <w:br/>
        <w:t>¶9(C)(8):Monthly Fee: Inability to Pay</w:t>
      </w:r>
      <w:r w:rsidRPr="001D652C">
        <w:rPr>
          <w:rFonts w:eastAsia="Times New Roman"/>
          <w:lang w:eastAsia="en-US"/>
        </w:rPr>
        <w:br/>
      </w:r>
      <w:r w:rsidRPr="001D652C">
        <w:rPr>
          <w:rFonts w:eastAsia="Times New Roman"/>
          <w:lang w:eastAsia="en-US"/>
        </w:rPr>
        <w:br/>
        <w:t>It is your responsibility to look to all other available sources of financial assistance such as family, church and other agencies, before requesting financial assistance from us. You may not transfer assets represented as available in your application to be a Resident of the Village for less than fair market value, unless the transfer does not impair your ability to fulfill your financial obligations to us. If you impair your ability to pay your financial obligations by transferring assets for less than fair market value, you will not be considered for financial assistance and this Agreement may be terminated.</w:t>
      </w:r>
      <w:r w:rsidRPr="001D652C">
        <w:rPr>
          <w:rFonts w:eastAsia="Times New Roman"/>
          <w:lang w:eastAsia="en-US"/>
        </w:rPr>
        <w:br/>
      </w:r>
      <w:r w:rsidRPr="001D652C">
        <w:rPr>
          <w:rFonts w:eastAsia="Times New Roman"/>
          <w:lang w:eastAsia="en-US"/>
        </w:rPr>
        <w:br/>
        <w:t>¶11(B)(2)Termination by Us: After Occupancy</w:t>
      </w:r>
      <w:r w:rsidRPr="001D652C">
        <w:rPr>
          <w:rFonts w:eastAsia="Times New Roman"/>
          <w:lang w:eastAsia="en-US"/>
        </w:rPr>
        <w:br/>
      </w:r>
      <w:r w:rsidRPr="001D652C">
        <w:rPr>
          <w:rFonts w:eastAsia="Times New Roman"/>
          <w:lang w:eastAsia="en-US"/>
        </w:rPr>
        <w:br/>
        <w:t>We shall have the right to terminate this contract at any time following the Occupancy Date for just cause including but not limited to any one or more of the [*5]following: failure to pay your Entry Fee; failure to pay your Monthly Fees; your inability to pay Monthly Fees as a result of your willful mismanagement of assets or income needed for payment of the Monthly Fees, the making of any material misrepresentation or omission in connection with your application for admission; any acts of fraud committed by you in connection with this contract....</w:t>
      </w:r>
      <w:r w:rsidRPr="001D652C">
        <w:rPr>
          <w:rFonts w:eastAsia="Times New Roman"/>
          <w:lang w:eastAsia="en-US"/>
        </w:rPr>
        <w:br/>
      </w:r>
      <w:r w:rsidRPr="001D652C">
        <w:rPr>
          <w:rFonts w:eastAsia="Times New Roman"/>
          <w:lang w:eastAsia="en-US"/>
        </w:rPr>
        <w:br/>
        <w:t>¶-;15(F)Your Rights and Obligations:</w:t>
      </w:r>
    </w:p>
    <w:p w:rsidR="001D652C" w:rsidRPr="001D652C" w:rsidRDefault="001D652C" w:rsidP="00587AFC">
      <w:pPr>
        <w:spacing w:before="100" w:beforeAutospacing="1" w:after="100" w:afterAutospacing="1"/>
        <w:rPr>
          <w:rFonts w:eastAsia="Times New Roman"/>
          <w:lang w:eastAsia="en-US"/>
        </w:rPr>
      </w:pPr>
      <w:r w:rsidRPr="001D652C">
        <w:rPr>
          <w:rFonts w:eastAsia="Times New Roman"/>
          <w:lang w:eastAsia="en-US"/>
        </w:rPr>
        <w:t>Reduction of Income or Other Resources</w:t>
      </w:r>
      <w:r w:rsidRPr="001D652C">
        <w:rPr>
          <w:rFonts w:eastAsia="Times New Roman"/>
          <w:lang w:eastAsia="en-US"/>
        </w:rPr>
        <w:br/>
      </w:r>
      <w:r w:rsidRPr="001D652C">
        <w:rPr>
          <w:rFonts w:eastAsia="Times New Roman"/>
          <w:lang w:eastAsia="en-US"/>
        </w:rPr>
        <w:br/>
      </w:r>
      <w:proofErr w:type="gramStart"/>
      <w:r w:rsidRPr="001D652C">
        <w:rPr>
          <w:rFonts w:eastAsia="Times New Roman"/>
          <w:lang w:eastAsia="en-US"/>
        </w:rPr>
        <w:t>You</w:t>
      </w:r>
      <w:proofErr w:type="gramEnd"/>
      <w:r w:rsidRPr="001D652C">
        <w:rPr>
          <w:rFonts w:eastAsia="Times New Roman"/>
          <w:lang w:eastAsia="en-US"/>
        </w:rPr>
        <w:t xml:space="preserve"> will make every reasonable effort to meet your financial obligations to us. You will not transfer control of assets or property or make any gifts subsequent to the date of application for admission, nor will you make any transfers or gifts after actual occupancy, which would substantially impair your ability or the ability of your estate to satisfy your financial obligations to us.</w:t>
      </w:r>
      <w:r w:rsidRPr="001D652C">
        <w:rPr>
          <w:rFonts w:eastAsia="Times New Roman"/>
          <w:lang w:eastAsia="en-US"/>
        </w:rPr>
        <w:br/>
      </w:r>
      <w:r w:rsidRPr="001D652C">
        <w:rPr>
          <w:rFonts w:eastAsia="Times New Roman"/>
          <w:lang w:eastAsia="en-US"/>
        </w:rPr>
        <w:br/>
        <w:t>(Plaintiff's Ex B [Contract]; emphases added).</w:t>
      </w:r>
    </w:p>
    <w:p w:rsidR="001D652C" w:rsidRPr="001D652C" w:rsidRDefault="001D652C" w:rsidP="001D652C">
      <w:pPr>
        <w:spacing w:before="100" w:beforeAutospacing="1" w:after="100" w:afterAutospacing="1"/>
        <w:rPr>
          <w:rFonts w:eastAsia="Times New Roman"/>
          <w:lang w:eastAsia="en-US"/>
        </w:rPr>
      </w:pPr>
      <w:r w:rsidRPr="001D652C">
        <w:rPr>
          <w:rFonts w:eastAsia="Times New Roman"/>
          <w:lang w:eastAsia="en-US"/>
        </w:rPr>
        <w:t xml:space="preserve">To the extent that the </w:t>
      </w:r>
      <w:proofErr w:type="spellStart"/>
      <w:r w:rsidRPr="001D652C">
        <w:rPr>
          <w:rFonts w:eastAsia="Times New Roman"/>
          <w:lang w:eastAsia="en-US"/>
        </w:rPr>
        <w:t>Yezzis</w:t>
      </w:r>
      <w:proofErr w:type="spellEnd"/>
      <w:r w:rsidRPr="001D652C">
        <w:rPr>
          <w:rFonts w:eastAsia="Times New Roman"/>
          <w:lang w:eastAsia="en-US"/>
        </w:rPr>
        <w:t xml:space="preserve"> appear to argue that some magical words were necessary in these documents to impress upon the </w:t>
      </w:r>
      <w:proofErr w:type="spellStart"/>
      <w:r w:rsidRPr="001D652C">
        <w:rPr>
          <w:rFonts w:eastAsia="Times New Roman"/>
          <w:lang w:eastAsia="en-US"/>
        </w:rPr>
        <w:t>Yezzis</w:t>
      </w:r>
      <w:proofErr w:type="spellEnd"/>
      <w:r w:rsidRPr="001D652C">
        <w:rPr>
          <w:rFonts w:eastAsia="Times New Roman"/>
          <w:lang w:eastAsia="en-US"/>
        </w:rPr>
        <w:t xml:space="preserve"> their obligation, such is simply not the case.</w:t>
      </w:r>
    </w:p>
    <w:p w:rsidR="001D652C" w:rsidRPr="001D652C" w:rsidRDefault="001D652C" w:rsidP="001D652C">
      <w:pPr>
        <w:spacing w:before="100" w:beforeAutospacing="1" w:after="100" w:afterAutospacing="1"/>
        <w:rPr>
          <w:rFonts w:eastAsia="Times New Roman"/>
          <w:lang w:eastAsia="en-US"/>
        </w:rPr>
      </w:pPr>
      <w:r w:rsidRPr="001D652C">
        <w:rPr>
          <w:rFonts w:eastAsia="Times New Roman"/>
          <w:lang w:eastAsia="en-US"/>
        </w:rPr>
        <w:lastRenderedPageBreak/>
        <w:t xml:space="preserve">Nor does the court find these documents to violate </w:t>
      </w:r>
      <w:proofErr w:type="gramStart"/>
      <w:r w:rsidRPr="001D652C">
        <w:rPr>
          <w:rFonts w:eastAsia="Times New Roman"/>
          <w:lang w:eastAsia="en-US"/>
        </w:rPr>
        <w:t>either federal or state rules and</w:t>
      </w:r>
      <w:proofErr w:type="gramEnd"/>
      <w:r w:rsidRPr="001D652C">
        <w:rPr>
          <w:rFonts w:eastAsia="Times New Roman"/>
          <w:lang w:eastAsia="en-US"/>
        </w:rPr>
        <w:t xml:space="preserve"> regulations. Notably, the New York State Department of Health approved this facility, as well as the proposed contracts (Public Health Law § 4655)</w:t>
      </w:r>
      <w:proofErr w:type="gramStart"/>
      <w:r w:rsidRPr="001D652C">
        <w:rPr>
          <w:rFonts w:eastAsia="Times New Roman"/>
          <w:lang w:eastAsia="en-US"/>
        </w:rPr>
        <w:t>.[</w:t>
      </w:r>
      <w:proofErr w:type="gramEnd"/>
      <w:r w:rsidRPr="001D652C">
        <w:rPr>
          <w:rFonts w:eastAsia="Times New Roman"/>
          <w:lang w:eastAsia="en-US"/>
        </w:rPr>
        <w:t xml:space="preserve">FN4] </w:t>
      </w:r>
    </w:p>
    <w:p w:rsidR="001D652C" w:rsidRPr="001D652C" w:rsidRDefault="001D652C" w:rsidP="001D652C">
      <w:pPr>
        <w:spacing w:before="100" w:beforeAutospacing="1" w:after="100" w:afterAutospacing="1"/>
        <w:rPr>
          <w:rFonts w:eastAsia="Times New Roman"/>
          <w:lang w:eastAsia="en-US"/>
        </w:rPr>
      </w:pPr>
      <w:r w:rsidRPr="001D652C">
        <w:rPr>
          <w:rFonts w:eastAsia="Times New Roman"/>
          <w:lang w:eastAsia="en-US"/>
        </w:rPr>
        <w:t xml:space="preserve">The court finds that defendants are conflating the issues of the Good Shepherd and </w:t>
      </w:r>
      <w:proofErr w:type="spellStart"/>
      <w:r w:rsidRPr="001D652C">
        <w:rPr>
          <w:rFonts w:eastAsia="Times New Roman"/>
          <w:lang w:eastAsia="en-US"/>
        </w:rPr>
        <w:t>Yezzi</w:t>
      </w:r>
      <w:proofErr w:type="spellEnd"/>
      <w:r w:rsidRPr="001D652C">
        <w:rPr>
          <w:rFonts w:eastAsia="Times New Roman"/>
          <w:lang w:eastAsia="en-US"/>
        </w:rPr>
        <w:t xml:space="preserve"> contracts with the </w:t>
      </w:r>
      <w:proofErr w:type="spellStart"/>
      <w:r w:rsidRPr="001D652C">
        <w:rPr>
          <w:rFonts w:eastAsia="Times New Roman"/>
          <w:lang w:eastAsia="en-US"/>
        </w:rPr>
        <w:t>Yezzis</w:t>
      </w:r>
      <w:proofErr w:type="spellEnd"/>
      <w:r w:rsidRPr="001D652C">
        <w:rPr>
          <w:rFonts w:eastAsia="Times New Roman"/>
          <w:lang w:eastAsia="en-US"/>
        </w:rPr>
        <w:t xml:space="preserve">' legal right to apply for Medicaid. Simply stated, while the </w:t>
      </w:r>
      <w:proofErr w:type="spellStart"/>
      <w:r w:rsidRPr="001D652C">
        <w:rPr>
          <w:rFonts w:eastAsia="Times New Roman"/>
          <w:lang w:eastAsia="en-US"/>
        </w:rPr>
        <w:t>Yezzis</w:t>
      </w:r>
      <w:proofErr w:type="spellEnd"/>
      <w:r w:rsidRPr="001D652C">
        <w:rPr>
          <w:rFonts w:eastAsia="Times New Roman"/>
          <w:lang w:eastAsia="en-US"/>
        </w:rPr>
        <w:t xml:space="preserve"> may well have a right to apply for Medicaid, that is not to say that the exercise of that right - under certain circumstances such as present here - might not violate a separate perfectly valid contract.[FN5] As noted above, 42 USC § 1396r (c)(5)(B)(v), admission contracts for continuing care retirement communities, such as here, are permitted to "require residents to spend on their care resources declared for the purposes of admission before applying for medical assistance."</w:t>
      </w:r>
    </w:p>
    <w:p w:rsidR="001D652C" w:rsidRPr="001D652C" w:rsidRDefault="001D652C" w:rsidP="001D652C">
      <w:pPr>
        <w:spacing w:before="100" w:beforeAutospacing="1" w:after="100" w:afterAutospacing="1"/>
        <w:rPr>
          <w:rFonts w:eastAsia="Times New Roman"/>
          <w:lang w:eastAsia="en-US"/>
        </w:rPr>
      </w:pPr>
      <w:r w:rsidRPr="001D652C">
        <w:rPr>
          <w:rFonts w:eastAsia="Times New Roman"/>
          <w:lang w:eastAsia="en-US"/>
        </w:rPr>
        <w:t xml:space="preserve">To allow the </w:t>
      </w:r>
      <w:proofErr w:type="spellStart"/>
      <w:r w:rsidRPr="001D652C">
        <w:rPr>
          <w:rFonts w:eastAsia="Times New Roman"/>
          <w:lang w:eastAsia="en-US"/>
        </w:rPr>
        <w:t>Yezzis</w:t>
      </w:r>
      <w:proofErr w:type="spellEnd"/>
      <w:r w:rsidRPr="001D652C">
        <w:rPr>
          <w:rFonts w:eastAsia="Times New Roman"/>
          <w:lang w:eastAsia="en-US"/>
        </w:rPr>
        <w:t xml:space="preserve"> to breach their agreement with Good Shepherd, would upend the [*6]financial model upon which Good Shepherd was created and authorized by the legislative structure implemented by the State in Public Health Law Article 46-A. The </w:t>
      </w:r>
      <w:proofErr w:type="spellStart"/>
      <w:r w:rsidRPr="001D652C">
        <w:rPr>
          <w:rFonts w:eastAsia="Times New Roman"/>
          <w:lang w:eastAsia="en-US"/>
        </w:rPr>
        <w:t>Yezzis</w:t>
      </w:r>
      <w:proofErr w:type="spellEnd"/>
      <w:r w:rsidRPr="001D652C">
        <w:rPr>
          <w:rFonts w:eastAsia="Times New Roman"/>
          <w:lang w:eastAsia="en-US"/>
        </w:rPr>
        <w:t xml:space="preserve"> were contractually obligated to spend down their own assets prior to applying for Medicaid. Quite simply, the court finds that the </w:t>
      </w:r>
      <w:proofErr w:type="spellStart"/>
      <w:r w:rsidRPr="001D652C">
        <w:rPr>
          <w:rFonts w:eastAsia="Times New Roman"/>
          <w:lang w:eastAsia="en-US"/>
        </w:rPr>
        <w:t>Yezzis</w:t>
      </w:r>
      <w:proofErr w:type="spellEnd"/>
      <w:r w:rsidRPr="001D652C">
        <w:rPr>
          <w:rFonts w:eastAsia="Times New Roman"/>
          <w:lang w:eastAsia="en-US"/>
        </w:rPr>
        <w:t xml:space="preserve"> have not adhered to their contractual obligation.</w:t>
      </w:r>
    </w:p>
    <w:p w:rsidR="001D652C" w:rsidRPr="001D652C" w:rsidRDefault="001D652C" w:rsidP="001D652C">
      <w:pPr>
        <w:spacing w:before="100" w:beforeAutospacing="1" w:after="100" w:afterAutospacing="1"/>
        <w:rPr>
          <w:rFonts w:eastAsia="Times New Roman"/>
          <w:lang w:eastAsia="en-US"/>
        </w:rPr>
      </w:pPr>
      <w:r w:rsidRPr="001D652C">
        <w:rPr>
          <w:rFonts w:eastAsia="Times New Roman"/>
          <w:lang w:eastAsia="en-US"/>
        </w:rPr>
        <w:t>In view of the foregoing, the court grants Good Shepherd's motion for partial summary judgment to the extent of granting a declaratory judgment that its Contract and Admission Agreement are in compliance with state and federal law namely, the Medicare Act. Further, the court grants plaintiff's motion for summary judgment dismissing defendants' first counterclaim for a declaratory judgment; and denies defendants' cross-motion for summary judgment dismissing plaintiff's first cause of action</w:t>
      </w:r>
      <w:proofErr w:type="gramStart"/>
      <w:r w:rsidRPr="001D652C">
        <w:rPr>
          <w:rFonts w:eastAsia="Times New Roman"/>
          <w:lang w:eastAsia="en-US"/>
        </w:rPr>
        <w:t>.[</w:t>
      </w:r>
      <w:proofErr w:type="gramEnd"/>
      <w:r w:rsidRPr="001D652C">
        <w:rPr>
          <w:rFonts w:eastAsia="Times New Roman"/>
          <w:lang w:eastAsia="en-US"/>
        </w:rPr>
        <w:t xml:space="preserve">FN6] </w:t>
      </w:r>
    </w:p>
    <w:p w:rsidR="001D652C" w:rsidRPr="001D652C" w:rsidRDefault="001D652C" w:rsidP="001D652C">
      <w:pPr>
        <w:spacing w:before="100" w:beforeAutospacing="1" w:after="100" w:afterAutospacing="1"/>
        <w:rPr>
          <w:rFonts w:eastAsia="Times New Roman"/>
          <w:lang w:eastAsia="en-US"/>
        </w:rPr>
      </w:pPr>
      <w:r w:rsidRPr="001D652C">
        <w:rPr>
          <w:rFonts w:eastAsia="Times New Roman"/>
          <w:lang w:eastAsia="en-US"/>
        </w:rPr>
        <w:t xml:space="preserve">The court also grants Good Shepherd's motion to seek and receive payment from the disclosed and subsequently transferred assets of Hazel </w:t>
      </w:r>
      <w:proofErr w:type="spellStart"/>
      <w:r w:rsidRPr="001D652C">
        <w:rPr>
          <w:rFonts w:eastAsia="Times New Roman"/>
          <w:lang w:eastAsia="en-US"/>
        </w:rPr>
        <w:t>Yezzi</w:t>
      </w:r>
      <w:proofErr w:type="spellEnd"/>
      <w:r w:rsidRPr="001D652C">
        <w:rPr>
          <w:rFonts w:eastAsia="Times New Roman"/>
          <w:lang w:eastAsia="en-US"/>
        </w:rPr>
        <w:t xml:space="preserve"> as set forth below.</w:t>
      </w:r>
    </w:p>
    <w:p w:rsidR="001D652C" w:rsidRPr="001D652C" w:rsidRDefault="001D652C" w:rsidP="001D652C">
      <w:pPr>
        <w:spacing w:before="100" w:beforeAutospacing="1" w:after="100" w:afterAutospacing="1"/>
        <w:rPr>
          <w:rFonts w:eastAsia="Times New Roman"/>
          <w:lang w:eastAsia="en-US"/>
        </w:rPr>
      </w:pPr>
      <w:r w:rsidRPr="001D652C">
        <w:rPr>
          <w:rFonts w:eastAsia="Times New Roman"/>
          <w:lang w:eastAsia="en-US"/>
        </w:rPr>
        <w:t xml:space="preserve">In sum, plaintiff is entitled to a judgment to recover damages in the amount of the cost of care provided to Hazel </w:t>
      </w:r>
      <w:proofErr w:type="spellStart"/>
      <w:r w:rsidRPr="001D652C">
        <w:rPr>
          <w:rFonts w:eastAsia="Times New Roman"/>
          <w:lang w:eastAsia="en-US"/>
        </w:rPr>
        <w:t>Yezzi</w:t>
      </w:r>
      <w:proofErr w:type="spellEnd"/>
      <w:r w:rsidRPr="001D652C">
        <w:rPr>
          <w:rFonts w:eastAsia="Times New Roman"/>
          <w:lang w:eastAsia="en-US"/>
        </w:rPr>
        <w:t>, based upon the contractual rates from October 2012 through January 2014, plus reasonable attorneys' fees, plus costs and disbursements. The court further finds that a hearing is required on the reasonableness of the amount of attorneys' fees incurred on behalf of plaintiff. The court will schedule an attorney conference call to discuss submissions and/or the scheduling of a hearing, if necessary, on the issue of the reasonableness of said fees.</w:t>
      </w:r>
    </w:p>
    <w:p w:rsidR="00587AFC" w:rsidRPr="00FA340C" w:rsidRDefault="001D652C" w:rsidP="001D652C">
      <w:pPr>
        <w:spacing w:before="100" w:beforeAutospacing="1" w:after="100" w:afterAutospacing="1"/>
        <w:rPr>
          <w:rFonts w:eastAsia="Times New Roman"/>
          <w:u w:val="single"/>
          <w:lang w:eastAsia="en-US"/>
        </w:rPr>
      </w:pPr>
      <w:r w:rsidRPr="001D652C">
        <w:rPr>
          <w:rFonts w:eastAsia="Times New Roman"/>
          <w:lang w:eastAsia="en-US"/>
        </w:rPr>
        <w:t>For the same reasons stated above, plaintiff's motion seeking summary judgment dismissing defendants' second and third counterclaims is granted as well; and defendants' cross-motion seeking summary judgment on their counterclaims is dismissed.</w:t>
      </w:r>
      <w:r w:rsidRPr="001D652C">
        <w:rPr>
          <w:rFonts w:eastAsia="Times New Roman"/>
          <w:lang w:eastAsia="en-US"/>
        </w:rPr>
        <w:br/>
      </w:r>
      <w:r w:rsidRPr="001D652C">
        <w:rPr>
          <w:rFonts w:eastAsia="Times New Roman"/>
          <w:lang w:eastAsia="en-US"/>
        </w:rPr>
        <w:br/>
      </w:r>
      <w:r w:rsidRPr="001D652C">
        <w:rPr>
          <w:rFonts w:eastAsia="Times New Roman"/>
          <w:u w:val="single"/>
          <w:lang w:eastAsia="en-US"/>
        </w:rPr>
        <w:t>II.</w:t>
      </w:r>
      <w:r w:rsidR="00FA340C" w:rsidRPr="00FA340C">
        <w:rPr>
          <w:rFonts w:eastAsia="Times New Roman"/>
          <w:u w:val="single"/>
          <w:lang w:eastAsia="en-US"/>
        </w:rPr>
        <w:t xml:space="preserve"> </w:t>
      </w:r>
      <w:r w:rsidRPr="001D652C">
        <w:rPr>
          <w:rFonts w:eastAsia="Times New Roman"/>
          <w:u w:val="single"/>
          <w:lang w:eastAsia="en-US"/>
        </w:rPr>
        <w:t>Debtor &amp; Creditor Law</w:t>
      </w:r>
    </w:p>
    <w:p w:rsidR="001D652C" w:rsidRPr="001D652C" w:rsidRDefault="001D652C" w:rsidP="001D652C">
      <w:pPr>
        <w:spacing w:before="100" w:beforeAutospacing="1" w:after="100" w:afterAutospacing="1"/>
        <w:rPr>
          <w:rFonts w:eastAsia="Times New Roman"/>
          <w:lang w:eastAsia="en-US"/>
        </w:rPr>
      </w:pPr>
      <w:r w:rsidRPr="001D652C">
        <w:rPr>
          <w:rFonts w:eastAsia="Times New Roman"/>
          <w:lang w:eastAsia="en-US"/>
        </w:rPr>
        <w:t xml:space="preserve">Plaintiff's third cause of action alleges that the transfers from Mrs. </w:t>
      </w:r>
      <w:proofErr w:type="spellStart"/>
      <w:r w:rsidRPr="001D652C">
        <w:rPr>
          <w:rFonts w:eastAsia="Times New Roman"/>
          <w:lang w:eastAsia="en-US"/>
        </w:rPr>
        <w:t>Yezzi</w:t>
      </w:r>
      <w:proofErr w:type="spellEnd"/>
      <w:r w:rsidRPr="001D652C">
        <w:rPr>
          <w:rFonts w:eastAsia="Times New Roman"/>
          <w:lang w:eastAsia="en-US"/>
        </w:rPr>
        <w:t xml:space="preserve"> to Mr. </w:t>
      </w:r>
      <w:proofErr w:type="spellStart"/>
      <w:r w:rsidRPr="001D652C">
        <w:rPr>
          <w:rFonts w:eastAsia="Times New Roman"/>
          <w:lang w:eastAsia="en-US"/>
        </w:rPr>
        <w:t>Yezzi</w:t>
      </w:r>
      <w:proofErr w:type="spellEnd"/>
      <w:r w:rsidRPr="001D652C">
        <w:rPr>
          <w:rFonts w:eastAsia="Times New Roman"/>
          <w:lang w:eastAsia="en-US"/>
        </w:rPr>
        <w:t xml:space="preserve"> and/or her stepson constituted a fraudulent conveyance under the Debtor &amp; Creditor Law. </w:t>
      </w:r>
      <w:r w:rsidRPr="001D652C">
        <w:rPr>
          <w:rFonts w:eastAsia="Times New Roman"/>
          <w:lang w:eastAsia="en-US"/>
        </w:rPr>
        <w:lastRenderedPageBreak/>
        <w:t xml:space="preserve">Plaintiff seeks an order setting aside the transfers and restoring said assets to Hazel </w:t>
      </w:r>
      <w:proofErr w:type="spellStart"/>
      <w:r w:rsidRPr="001D652C">
        <w:rPr>
          <w:rFonts w:eastAsia="Times New Roman"/>
          <w:lang w:eastAsia="en-US"/>
        </w:rPr>
        <w:t>Yezzi's</w:t>
      </w:r>
      <w:proofErr w:type="spellEnd"/>
      <w:r w:rsidRPr="001D652C">
        <w:rPr>
          <w:rFonts w:eastAsia="Times New Roman"/>
          <w:lang w:eastAsia="en-US"/>
        </w:rPr>
        <w:t xml:space="preserve"> Estate to be made available to satisfy the outstanding debt to plaintiff (Debtor &amp; Creditor Law § 278).</w:t>
      </w:r>
    </w:p>
    <w:p w:rsidR="001D652C" w:rsidRPr="001D652C" w:rsidRDefault="001D652C" w:rsidP="001D652C">
      <w:pPr>
        <w:spacing w:before="100" w:beforeAutospacing="1" w:after="100" w:afterAutospacing="1"/>
        <w:rPr>
          <w:rFonts w:eastAsia="Times New Roman"/>
          <w:lang w:eastAsia="en-US"/>
        </w:rPr>
      </w:pPr>
      <w:r w:rsidRPr="001D652C">
        <w:rPr>
          <w:rFonts w:eastAsia="Times New Roman"/>
          <w:lang w:eastAsia="en-US"/>
        </w:rPr>
        <w:t xml:space="preserve">Debtor &amp; Creditor Law § 273 states "[e]very conveyance made and every obligation incurred by a person who is or will be thereby rendered insolvent is fraudulent as to creditors without regard to his actual intent if the conveyance is made or the obligation is incurred without a fair consideration." Thus, any conveyance made without fair consideration that renders a person insolvent at the time of the transfer is considered fraudulent as to creditors without regard to actual intent (Matter of Steele, 85 AD3d 1375 [3d </w:t>
      </w:r>
      <w:proofErr w:type="spellStart"/>
      <w:r w:rsidRPr="001D652C">
        <w:rPr>
          <w:rFonts w:eastAsia="Times New Roman"/>
          <w:lang w:eastAsia="en-US"/>
        </w:rPr>
        <w:t>Dept</w:t>
      </w:r>
      <w:proofErr w:type="spellEnd"/>
      <w:r w:rsidRPr="001D652C">
        <w:rPr>
          <w:rFonts w:eastAsia="Times New Roman"/>
          <w:lang w:eastAsia="en-US"/>
        </w:rPr>
        <w:t xml:space="preserve"> 2011]; </w:t>
      </w:r>
      <w:proofErr w:type="spellStart"/>
      <w:r w:rsidRPr="001D652C">
        <w:rPr>
          <w:rFonts w:eastAsia="Times New Roman"/>
          <w:lang w:eastAsia="en-US"/>
        </w:rPr>
        <w:t>Murin</w:t>
      </w:r>
      <w:proofErr w:type="spellEnd"/>
      <w:r w:rsidRPr="001D652C">
        <w:rPr>
          <w:rFonts w:eastAsia="Times New Roman"/>
          <w:lang w:eastAsia="en-US"/>
        </w:rPr>
        <w:t xml:space="preserve"> v Estate of </w:t>
      </w:r>
      <w:proofErr w:type="spellStart"/>
      <w:r w:rsidRPr="001D652C">
        <w:rPr>
          <w:rFonts w:eastAsia="Times New Roman"/>
          <w:lang w:eastAsia="en-US"/>
        </w:rPr>
        <w:t>Schwalen</w:t>
      </w:r>
      <w:proofErr w:type="spellEnd"/>
      <w:r w:rsidRPr="001D652C">
        <w:rPr>
          <w:rFonts w:eastAsia="Times New Roman"/>
          <w:lang w:eastAsia="en-US"/>
        </w:rPr>
        <w:t>, 31 [*7</w:t>
      </w:r>
      <w:proofErr w:type="gramStart"/>
      <w:r w:rsidRPr="001D652C">
        <w:rPr>
          <w:rFonts w:eastAsia="Times New Roman"/>
          <w:lang w:eastAsia="en-US"/>
        </w:rPr>
        <w:t>]AD3d</w:t>
      </w:r>
      <w:proofErr w:type="gramEnd"/>
      <w:r w:rsidRPr="001D652C">
        <w:rPr>
          <w:rFonts w:eastAsia="Times New Roman"/>
          <w:lang w:eastAsia="en-US"/>
        </w:rPr>
        <w:t xml:space="preserve"> 1031, 1032 [3d </w:t>
      </w:r>
      <w:proofErr w:type="spellStart"/>
      <w:r w:rsidRPr="001D652C">
        <w:rPr>
          <w:rFonts w:eastAsia="Times New Roman"/>
          <w:lang w:eastAsia="en-US"/>
        </w:rPr>
        <w:t>Dept</w:t>
      </w:r>
      <w:proofErr w:type="spellEnd"/>
      <w:r w:rsidRPr="001D652C">
        <w:rPr>
          <w:rFonts w:eastAsia="Times New Roman"/>
          <w:lang w:eastAsia="en-US"/>
        </w:rPr>
        <w:t xml:space="preserve"> 2006]; Gallagher v </w:t>
      </w:r>
      <w:proofErr w:type="spellStart"/>
      <w:r w:rsidRPr="001D652C">
        <w:rPr>
          <w:rFonts w:eastAsia="Times New Roman"/>
          <w:lang w:eastAsia="en-US"/>
        </w:rPr>
        <w:t>Kirschner</w:t>
      </w:r>
      <w:proofErr w:type="spellEnd"/>
      <w:r w:rsidRPr="001D652C">
        <w:rPr>
          <w:rFonts w:eastAsia="Times New Roman"/>
          <w:lang w:eastAsia="en-US"/>
        </w:rPr>
        <w:t xml:space="preserve">, 220 AD2d 948, 949 [3d </w:t>
      </w:r>
      <w:proofErr w:type="spellStart"/>
      <w:r w:rsidRPr="001D652C">
        <w:rPr>
          <w:rFonts w:eastAsia="Times New Roman"/>
          <w:lang w:eastAsia="en-US"/>
        </w:rPr>
        <w:t>Dept</w:t>
      </w:r>
      <w:proofErr w:type="spellEnd"/>
      <w:r w:rsidRPr="001D652C">
        <w:rPr>
          <w:rFonts w:eastAsia="Times New Roman"/>
          <w:lang w:eastAsia="en-US"/>
        </w:rPr>
        <w:t xml:space="preserve"> 1995]).[FN7] </w:t>
      </w:r>
    </w:p>
    <w:p w:rsidR="001D652C" w:rsidRPr="001D652C" w:rsidRDefault="001D652C" w:rsidP="001D652C">
      <w:pPr>
        <w:spacing w:before="100" w:beforeAutospacing="1" w:after="100" w:afterAutospacing="1"/>
        <w:rPr>
          <w:rFonts w:eastAsia="Times New Roman"/>
          <w:lang w:eastAsia="en-US"/>
        </w:rPr>
      </w:pPr>
      <w:r w:rsidRPr="001D652C">
        <w:rPr>
          <w:rFonts w:eastAsia="Times New Roman"/>
          <w:lang w:eastAsia="en-US"/>
        </w:rPr>
        <w:t xml:space="preserve">Quite simply, plaintiff alleges there was no fair consideration for the transfer of the assets. Defendants' entire argument in opposition is premised on the concept that because Medicaid is "payment in full" that there is no fraudulent conveyance claim. In view of this court's determination hereinabove, this argument has now been discredited. In any event, the fact that these transfers were done for the purpose of Medicaid planning does not render those transfers non-fraudulent as to Good Shepherd (New Vanderbilt Rehabilitation &amp; Care Ctr., Inc. v Brown, 32 </w:t>
      </w:r>
      <w:proofErr w:type="spellStart"/>
      <w:r w:rsidRPr="001D652C">
        <w:rPr>
          <w:rFonts w:eastAsia="Times New Roman"/>
          <w:lang w:eastAsia="en-US"/>
        </w:rPr>
        <w:t>Misc</w:t>
      </w:r>
      <w:proofErr w:type="spellEnd"/>
      <w:r w:rsidRPr="001D652C">
        <w:rPr>
          <w:rFonts w:eastAsia="Times New Roman"/>
          <w:lang w:eastAsia="en-US"/>
        </w:rPr>
        <w:t xml:space="preserve"> 3d 1218(A) [2011]).</w:t>
      </w:r>
    </w:p>
    <w:p w:rsidR="001D652C" w:rsidRPr="001D652C" w:rsidRDefault="001D652C" w:rsidP="001D652C">
      <w:pPr>
        <w:spacing w:before="100" w:beforeAutospacing="1" w:after="100" w:afterAutospacing="1"/>
        <w:rPr>
          <w:rFonts w:eastAsia="Times New Roman"/>
          <w:lang w:eastAsia="en-US"/>
        </w:rPr>
      </w:pPr>
      <w:r w:rsidRPr="001D652C">
        <w:rPr>
          <w:rFonts w:eastAsia="Times New Roman"/>
          <w:lang w:eastAsia="en-US"/>
        </w:rPr>
        <w:t xml:space="preserve">In view of the foregoing, plaintiff is entitled to a judgment setting aside the transfers from Mrs. </w:t>
      </w:r>
      <w:proofErr w:type="spellStart"/>
      <w:r w:rsidRPr="001D652C">
        <w:rPr>
          <w:rFonts w:eastAsia="Times New Roman"/>
          <w:lang w:eastAsia="en-US"/>
        </w:rPr>
        <w:t>Yezzi</w:t>
      </w:r>
      <w:proofErr w:type="spellEnd"/>
      <w:r w:rsidRPr="001D652C">
        <w:rPr>
          <w:rFonts w:eastAsia="Times New Roman"/>
          <w:lang w:eastAsia="en-US"/>
        </w:rPr>
        <w:t xml:space="preserve"> to Mr. </w:t>
      </w:r>
      <w:proofErr w:type="spellStart"/>
      <w:r w:rsidRPr="001D652C">
        <w:rPr>
          <w:rFonts w:eastAsia="Times New Roman"/>
          <w:lang w:eastAsia="en-US"/>
        </w:rPr>
        <w:t>Yezzi</w:t>
      </w:r>
      <w:proofErr w:type="spellEnd"/>
      <w:r w:rsidRPr="001D652C">
        <w:rPr>
          <w:rFonts w:eastAsia="Times New Roman"/>
          <w:lang w:eastAsia="en-US"/>
        </w:rPr>
        <w:t xml:space="preserve"> and/or her stepson and restoring said assets to the Estate of Helen R. </w:t>
      </w:r>
      <w:proofErr w:type="spellStart"/>
      <w:r w:rsidRPr="001D652C">
        <w:rPr>
          <w:rFonts w:eastAsia="Times New Roman"/>
          <w:lang w:eastAsia="en-US"/>
        </w:rPr>
        <w:t>Yezzi</w:t>
      </w:r>
      <w:proofErr w:type="spellEnd"/>
      <w:r w:rsidRPr="001D652C">
        <w:rPr>
          <w:rFonts w:eastAsia="Times New Roman"/>
          <w:lang w:eastAsia="en-US"/>
        </w:rPr>
        <w:t xml:space="preserve"> to be made available to satisfy her obligations and debt to plaintiff.</w:t>
      </w:r>
    </w:p>
    <w:p w:rsidR="001D652C" w:rsidRPr="001D652C" w:rsidRDefault="001D652C" w:rsidP="00587AFC">
      <w:pPr>
        <w:spacing w:before="100" w:beforeAutospacing="1" w:after="100" w:afterAutospacing="1"/>
        <w:rPr>
          <w:rFonts w:eastAsia="Times New Roman"/>
          <w:lang w:eastAsia="en-US"/>
        </w:rPr>
      </w:pPr>
      <w:r w:rsidRPr="001D652C">
        <w:rPr>
          <w:rFonts w:eastAsia="Times New Roman"/>
          <w:lang w:eastAsia="en-US"/>
        </w:rPr>
        <w:t>Defendants' cross-motion is denied in all respects with the exception of granting</w:t>
      </w:r>
      <w:r w:rsidR="00587AFC">
        <w:rPr>
          <w:rFonts w:eastAsia="Times New Roman"/>
          <w:lang w:eastAsia="en-US"/>
        </w:rPr>
        <w:t xml:space="preserve"> </w:t>
      </w:r>
      <w:r w:rsidRPr="001D652C">
        <w:rPr>
          <w:rFonts w:eastAsia="Times New Roman"/>
          <w:lang w:eastAsia="en-US"/>
        </w:rPr>
        <w:t xml:space="preserve">an order substituting "Joseph P. </w:t>
      </w:r>
      <w:proofErr w:type="spellStart"/>
      <w:r w:rsidRPr="001D652C">
        <w:rPr>
          <w:rFonts w:eastAsia="Times New Roman"/>
          <w:lang w:eastAsia="en-US"/>
        </w:rPr>
        <w:t>Yezzi</w:t>
      </w:r>
      <w:proofErr w:type="spellEnd"/>
      <w:r w:rsidRPr="001D652C">
        <w:rPr>
          <w:rFonts w:eastAsia="Times New Roman"/>
          <w:lang w:eastAsia="en-US"/>
        </w:rPr>
        <w:t xml:space="preserve"> as Executor of the Estate of Hazel R. </w:t>
      </w:r>
      <w:proofErr w:type="spellStart"/>
      <w:r w:rsidRPr="001D652C">
        <w:rPr>
          <w:rFonts w:eastAsia="Times New Roman"/>
          <w:lang w:eastAsia="en-US"/>
        </w:rPr>
        <w:t>Yezzi</w:t>
      </w:r>
      <w:proofErr w:type="spellEnd"/>
      <w:r w:rsidRPr="001D652C">
        <w:rPr>
          <w:rFonts w:eastAsia="Times New Roman"/>
          <w:lang w:eastAsia="en-US"/>
        </w:rPr>
        <w:t xml:space="preserve">" in place of Hazel R. </w:t>
      </w:r>
      <w:proofErr w:type="spellStart"/>
      <w:r w:rsidRPr="001D652C">
        <w:rPr>
          <w:rFonts w:eastAsia="Times New Roman"/>
          <w:lang w:eastAsia="en-US"/>
        </w:rPr>
        <w:t>Yezzi</w:t>
      </w:r>
      <w:proofErr w:type="spellEnd"/>
      <w:r w:rsidRPr="001D652C">
        <w:rPr>
          <w:rFonts w:eastAsia="Times New Roman"/>
          <w:lang w:eastAsia="en-US"/>
        </w:rPr>
        <w:t xml:space="preserve"> in this action.</w:t>
      </w:r>
    </w:p>
    <w:p w:rsidR="001D652C" w:rsidRPr="001D652C" w:rsidRDefault="001D652C" w:rsidP="001D652C">
      <w:pPr>
        <w:spacing w:before="100" w:beforeAutospacing="1" w:after="100" w:afterAutospacing="1"/>
        <w:rPr>
          <w:rFonts w:eastAsia="Times New Roman"/>
          <w:lang w:eastAsia="en-US"/>
        </w:rPr>
      </w:pPr>
      <w:r w:rsidRPr="001D652C">
        <w:rPr>
          <w:rFonts w:eastAsia="Times New Roman"/>
          <w:lang w:eastAsia="en-US"/>
        </w:rPr>
        <w:t>The court has considered the remaining arguments and finds them to be without merit.</w:t>
      </w:r>
    </w:p>
    <w:p w:rsidR="001D652C" w:rsidRPr="001D652C" w:rsidRDefault="001D652C" w:rsidP="00587AFC">
      <w:pPr>
        <w:spacing w:before="100" w:beforeAutospacing="1" w:after="100" w:afterAutospacing="1"/>
        <w:rPr>
          <w:rFonts w:eastAsia="Times New Roman"/>
          <w:lang w:eastAsia="en-US"/>
        </w:rPr>
      </w:pPr>
      <w:r w:rsidRPr="001D652C">
        <w:rPr>
          <w:rFonts w:eastAsia="Times New Roman"/>
          <w:b/>
          <w:lang w:eastAsia="en-US"/>
        </w:rPr>
        <w:t>CONCLUSION</w:t>
      </w:r>
      <w:r w:rsidRPr="001D652C">
        <w:rPr>
          <w:rFonts w:eastAsia="Times New Roman"/>
          <w:b/>
          <w:lang w:eastAsia="en-US"/>
        </w:rPr>
        <w:br/>
      </w:r>
      <w:r w:rsidRPr="001D652C">
        <w:rPr>
          <w:rFonts w:eastAsia="Times New Roman"/>
          <w:lang w:eastAsia="en-US"/>
        </w:rPr>
        <w:br/>
        <w:t>In view of the foregoing, the court finds as follows:</w:t>
      </w:r>
    </w:p>
    <w:p w:rsidR="001D652C" w:rsidRPr="001D652C" w:rsidRDefault="001D652C" w:rsidP="001D652C">
      <w:pPr>
        <w:spacing w:before="100" w:beforeAutospacing="1" w:after="100" w:afterAutospacing="1"/>
        <w:rPr>
          <w:rFonts w:eastAsia="Times New Roman"/>
          <w:lang w:eastAsia="en-US"/>
        </w:rPr>
      </w:pPr>
      <w:r w:rsidRPr="001D652C">
        <w:rPr>
          <w:rFonts w:eastAsia="Times New Roman"/>
          <w:lang w:eastAsia="en-US"/>
        </w:rPr>
        <w:t>1.</w:t>
      </w:r>
      <w:r w:rsidR="00FA340C">
        <w:rPr>
          <w:rFonts w:eastAsia="Times New Roman"/>
          <w:lang w:eastAsia="en-US"/>
        </w:rPr>
        <w:t xml:space="preserve"> </w:t>
      </w:r>
      <w:r w:rsidRPr="001D652C">
        <w:rPr>
          <w:rFonts w:eastAsia="Times New Roman"/>
          <w:lang w:eastAsia="en-US"/>
        </w:rPr>
        <w:t>Plaintiff's motion for partial summary judgment as to its first, second, and third causes of action is GRANTED;</w:t>
      </w:r>
    </w:p>
    <w:p w:rsidR="001D652C" w:rsidRPr="001D652C" w:rsidRDefault="001D652C" w:rsidP="001D652C">
      <w:pPr>
        <w:spacing w:before="100" w:beforeAutospacing="1" w:after="100" w:afterAutospacing="1"/>
        <w:rPr>
          <w:rFonts w:eastAsia="Times New Roman"/>
          <w:lang w:eastAsia="en-US"/>
        </w:rPr>
      </w:pPr>
      <w:r w:rsidRPr="001D652C">
        <w:rPr>
          <w:rFonts w:eastAsia="Times New Roman"/>
          <w:lang w:eastAsia="en-US"/>
        </w:rPr>
        <w:t>2.</w:t>
      </w:r>
      <w:r w:rsidR="00FA340C">
        <w:rPr>
          <w:rFonts w:eastAsia="Times New Roman"/>
          <w:lang w:eastAsia="en-US"/>
        </w:rPr>
        <w:t xml:space="preserve"> </w:t>
      </w:r>
      <w:r w:rsidRPr="001D652C">
        <w:rPr>
          <w:rFonts w:eastAsia="Times New Roman"/>
          <w:lang w:eastAsia="en-US"/>
        </w:rPr>
        <w:t>Plaintiff's motion summary judgment dismissing defendants' counterclaims is GRANTED;</w:t>
      </w:r>
    </w:p>
    <w:p w:rsidR="001D652C" w:rsidRPr="001D652C" w:rsidRDefault="001D652C" w:rsidP="001D652C">
      <w:pPr>
        <w:spacing w:before="100" w:beforeAutospacing="1" w:after="100" w:afterAutospacing="1"/>
        <w:rPr>
          <w:rFonts w:eastAsia="Times New Roman"/>
          <w:lang w:eastAsia="en-US"/>
        </w:rPr>
      </w:pPr>
      <w:r w:rsidRPr="001D652C">
        <w:rPr>
          <w:rFonts w:eastAsia="Times New Roman"/>
          <w:lang w:eastAsia="en-US"/>
        </w:rPr>
        <w:t>3.</w:t>
      </w:r>
      <w:r w:rsidR="00FA340C">
        <w:rPr>
          <w:rFonts w:eastAsia="Times New Roman"/>
          <w:lang w:eastAsia="en-US"/>
        </w:rPr>
        <w:t xml:space="preserve"> </w:t>
      </w:r>
      <w:r w:rsidRPr="001D652C">
        <w:rPr>
          <w:rFonts w:eastAsia="Times New Roman"/>
          <w:lang w:eastAsia="en-US"/>
        </w:rPr>
        <w:t xml:space="preserve">Defendants' cross-motion is DENIED in its entirety with the exception of permitting an order substituting "Joseph P. </w:t>
      </w:r>
      <w:proofErr w:type="spellStart"/>
      <w:r w:rsidRPr="001D652C">
        <w:rPr>
          <w:rFonts w:eastAsia="Times New Roman"/>
          <w:lang w:eastAsia="en-US"/>
        </w:rPr>
        <w:t>Yezzi</w:t>
      </w:r>
      <w:proofErr w:type="spellEnd"/>
      <w:r w:rsidRPr="001D652C">
        <w:rPr>
          <w:rFonts w:eastAsia="Times New Roman"/>
          <w:lang w:eastAsia="en-US"/>
        </w:rPr>
        <w:t xml:space="preserve"> as Executor of the Estate of Hazel R. </w:t>
      </w:r>
      <w:proofErr w:type="spellStart"/>
      <w:r w:rsidRPr="001D652C">
        <w:rPr>
          <w:rFonts w:eastAsia="Times New Roman"/>
          <w:lang w:eastAsia="en-US"/>
        </w:rPr>
        <w:t>Yezzi</w:t>
      </w:r>
      <w:proofErr w:type="spellEnd"/>
      <w:r w:rsidRPr="001D652C">
        <w:rPr>
          <w:rFonts w:eastAsia="Times New Roman"/>
          <w:lang w:eastAsia="en-US"/>
        </w:rPr>
        <w:t xml:space="preserve">" in place of Hazel R. </w:t>
      </w:r>
      <w:proofErr w:type="spellStart"/>
      <w:r w:rsidRPr="001D652C">
        <w:rPr>
          <w:rFonts w:eastAsia="Times New Roman"/>
          <w:lang w:eastAsia="en-US"/>
        </w:rPr>
        <w:t>Yezzi</w:t>
      </w:r>
      <w:proofErr w:type="spellEnd"/>
      <w:r w:rsidRPr="001D652C">
        <w:rPr>
          <w:rFonts w:eastAsia="Times New Roman"/>
          <w:lang w:eastAsia="en-US"/>
        </w:rPr>
        <w:t xml:space="preserve"> in this action.</w:t>
      </w:r>
    </w:p>
    <w:p w:rsidR="00587AFC" w:rsidRDefault="001D652C" w:rsidP="001D652C">
      <w:pPr>
        <w:spacing w:before="100" w:beforeAutospacing="1" w:after="100" w:afterAutospacing="1"/>
        <w:rPr>
          <w:rFonts w:eastAsia="Times New Roman"/>
          <w:lang w:eastAsia="en-US"/>
        </w:rPr>
      </w:pPr>
      <w:r w:rsidRPr="001D652C">
        <w:rPr>
          <w:rFonts w:eastAsia="Times New Roman"/>
          <w:lang w:eastAsia="en-US"/>
        </w:rPr>
        <w:lastRenderedPageBreak/>
        <w:t>This constitutes the order of the court.</w:t>
      </w:r>
      <w:r w:rsidRPr="001D652C">
        <w:rPr>
          <w:rFonts w:eastAsia="Times New Roman"/>
          <w:lang w:eastAsia="en-US"/>
        </w:rPr>
        <w:br/>
      </w:r>
      <w:r w:rsidRPr="001D652C">
        <w:rPr>
          <w:rFonts w:eastAsia="Times New Roman"/>
          <w:lang w:eastAsia="en-US"/>
        </w:rPr>
        <w:br/>
        <w:t>Dated:</w:t>
      </w:r>
      <w:r w:rsidR="00587AFC">
        <w:rPr>
          <w:rFonts w:eastAsia="Times New Roman"/>
          <w:lang w:eastAsia="en-US"/>
        </w:rPr>
        <w:t xml:space="preserve"> </w:t>
      </w:r>
      <w:r w:rsidRPr="001D652C">
        <w:rPr>
          <w:rFonts w:eastAsia="Times New Roman"/>
          <w:lang w:eastAsia="en-US"/>
        </w:rPr>
        <w:t>December 22, 2014</w:t>
      </w:r>
      <w:r w:rsidRPr="001D652C">
        <w:rPr>
          <w:rFonts w:eastAsia="Times New Roman"/>
          <w:lang w:eastAsia="en-US"/>
        </w:rPr>
        <w:br/>
      </w:r>
      <w:r w:rsidRPr="001D652C">
        <w:rPr>
          <w:rFonts w:eastAsia="Times New Roman"/>
          <w:lang w:eastAsia="en-US"/>
        </w:rPr>
        <w:br/>
        <w:t>Binghamton, New York</w:t>
      </w:r>
    </w:p>
    <w:p w:rsidR="001D652C" w:rsidRPr="001D652C" w:rsidRDefault="001D652C" w:rsidP="001D652C">
      <w:pPr>
        <w:spacing w:before="100" w:beforeAutospacing="1" w:after="100" w:afterAutospacing="1"/>
        <w:rPr>
          <w:rFonts w:eastAsia="Times New Roman"/>
          <w:lang w:eastAsia="en-US"/>
        </w:rPr>
      </w:pPr>
      <w:proofErr w:type="gramStart"/>
      <w:r w:rsidRPr="001D652C">
        <w:rPr>
          <w:rFonts w:eastAsia="Times New Roman"/>
          <w:lang w:eastAsia="en-US"/>
        </w:rPr>
        <w:t>s</w:t>
      </w:r>
      <w:proofErr w:type="gramEnd"/>
      <w:r w:rsidRPr="001D652C">
        <w:rPr>
          <w:rFonts w:eastAsia="Times New Roman"/>
          <w:lang w:eastAsia="en-US"/>
        </w:rPr>
        <w:t xml:space="preserve">/ Ferris D. </w:t>
      </w:r>
      <w:proofErr w:type="spellStart"/>
      <w:r w:rsidRPr="001D652C">
        <w:rPr>
          <w:rFonts w:eastAsia="Times New Roman"/>
          <w:lang w:eastAsia="en-US"/>
        </w:rPr>
        <w:t>Lebous</w:t>
      </w:r>
      <w:proofErr w:type="spellEnd"/>
    </w:p>
    <w:p w:rsidR="001D652C" w:rsidRPr="001D652C" w:rsidRDefault="001D652C" w:rsidP="001D652C">
      <w:pPr>
        <w:spacing w:before="100" w:beforeAutospacing="1" w:after="100" w:afterAutospacing="1"/>
        <w:rPr>
          <w:rFonts w:eastAsia="Times New Roman"/>
          <w:lang w:eastAsia="en-US"/>
        </w:rPr>
      </w:pPr>
      <w:r w:rsidRPr="001D652C">
        <w:rPr>
          <w:rFonts w:eastAsia="Times New Roman"/>
          <w:lang w:eastAsia="en-US"/>
        </w:rPr>
        <w:t xml:space="preserve">Hon. Ferris D. </w:t>
      </w:r>
      <w:proofErr w:type="spellStart"/>
      <w:r w:rsidRPr="001D652C">
        <w:rPr>
          <w:rFonts w:eastAsia="Times New Roman"/>
          <w:lang w:eastAsia="en-US"/>
        </w:rPr>
        <w:t>Lebous</w:t>
      </w:r>
      <w:proofErr w:type="spellEnd"/>
    </w:p>
    <w:p w:rsidR="001D652C" w:rsidRPr="001D652C" w:rsidRDefault="001D652C" w:rsidP="001D652C">
      <w:pPr>
        <w:spacing w:before="100" w:beforeAutospacing="1" w:after="100" w:afterAutospacing="1"/>
        <w:rPr>
          <w:rFonts w:eastAsia="Times New Roman"/>
          <w:lang w:eastAsia="en-US"/>
        </w:rPr>
      </w:pPr>
      <w:r w:rsidRPr="001D652C">
        <w:rPr>
          <w:rFonts w:eastAsia="Times New Roman"/>
          <w:lang w:eastAsia="en-US"/>
        </w:rPr>
        <w:t>Justice, Supreme Court</w:t>
      </w:r>
    </w:p>
    <w:p w:rsidR="00C6425A" w:rsidRPr="00374732" w:rsidRDefault="001D652C" w:rsidP="00587AFC">
      <w:pPr>
        <w:rPr>
          <w:rFonts w:ascii="Tahoma" w:hAnsi="Tahoma" w:cs="Tahoma"/>
        </w:rPr>
      </w:pPr>
      <w:r w:rsidRPr="001D652C">
        <w:rPr>
          <w:rFonts w:eastAsia="Times New Roman"/>
          <w:lang w:eastAsia="en-US"/>
        </w:rPr>
        <w:t xml:space="preserve">Footnotes </w:t>
      </w:r>
      <w:r w:rsidRPr="001D652C">
        <w:rPr>
          <w:rFonts w:eastAsia="Times New Roman"/>
          <w:lang w:eastAsia="en-US"/>
        </w:rPr>
        <w:br/>
      </w:r>
      <w:r w:rsidRPr="001D652C">
        <w:rPr>
          <w:rFonts w:eastAsia="Times New Roman"/>
          <w:lang w:eastAsia="en-US"/>
        </w:rPr>
        <w:br/>
        <w:t>Footnote 1</w:t>
      </w:r>
      <w:proofErr w:type="gramStart"/>
      <w:r w:rsidRPr="001D652C">
        <w:rPr>
          <w:rFonts w:eastAsia="Times New Roman"/>
          <w:lang w:eastAsia="en-US"/>
        </w:rPr>
        <w:t>:Hazel</w:t>
      </w:r>
      <w:proofErr w:type="gramEnd"/>
      <w:r w:rsidRPr="001D652C">
        <w:rPr>
          <w:rFonts w:eastAsia="Times New Roman"/>
          <w:lang w:eastAsia="en-US"/>
        </w:rPr>
        <w:t xml:space="preserve"> R. </w:t>
      </w:r>
      <w:proofErr w:type="spellStart"/>
      <w:r w:rsidRPr="001D652C">
        <w:rPr>
          <w:rFonts w:eastAsia="Times New Roman"/>
          <w:lang w:eastAsia="en-US"/>
        </w:rPr>
        <w:t>Yezzi</w:t>
      </w:r>
      <w:proofErr w:type="spellEnd"/>
      <w:r w:rsidRPr="001D652C">
        <w:rPr>
          <w:rFonts w:eastAsia="Times New Roman"/>
          <w:lang w:eastAsia="en-US"/>
        </w:rPr>
        <w:t xml:space="preserve"> died on January 31, 2014. There is no objection to said substitution. </w:t>
      </w:r>
      <w:r w:rsidRPr="001D652C">
        <w:rPr>
          <w:rFonts w:eastAsia="Times New Roman"/>
          <w:lang w:eastAsia="en-US"/>
        </w:rPr>
        <w:br/>
      </w:r>
      <w:r w:rsidRPr="001D652C">
        <w:rPr>
          <w:rFonts w:eastAsia="Times New Roman"/>
          <w:lang w:eastAsia="en-US"/>
        </w:rPr>
        <w:br/>
        <w:t xml:space="preserve">Footnote 2:Residents "need to agree to privately pay, either directly or through long term care insurance, for all services ranging from independent living units to skilled nursing beds....Only after the individual has spent down, based on their financial standing upon entrance into the community, would the individual be eligible for Medicaid..." </w:t>
      </w:r>
      <w:proofErr w:type="gramStart"/>
      <w:r w:rsidRPr="001D652C">
        <w:rPr>
          <w:rFonts w:eastAsia="Times New Roman"/>
          <w:lang w:eastAsia="en-US"/>
        </w:rPr>
        <w:t>(New York State Legislative Annual - 2004 at 353).</w:t>
      </w:r>
      <w:proofErr w:type="gramEnd"/>
      <w:r w:rsidRPr="001D652C">
        <w:rPr>
          <w:rFonts w:eastAsia="Times New Roman"/>
          <w:lang w:eastAsia="en-US"/>
        </w:rPr>
        <w:t xml:space="preserve"> </w:t>
      </w:r>
      <w:r w:rsidRPr="001D652C">
        <w:rPr>
          <w:rFonts w:eastAsia="Times New Roman"/>
          <w:lang w:eastAsia="en-US"/>
        </w:rPr>
        <w:br/>
      </w:r>
      <w:r w:rsidRPr="001D652C">
        <w:rPr>
          <w:rFonts w:eastAsia="Times New Roman"/>
          <w:lang w:eastAsia="en-US"/>
        </w:rPr>
        <w:br/>
        <w:t>Footnote 3</w:t>
      </w:r>
      <w:proofErr w:type="gramStart"/>
      <w:r w:rsidRPr="001D652C">
        <w:rPr>
          <w:rFonts w:eastAsia="Times New Roman"/>
          <w:lang w:eastAsia="en-US"/>
        </w:rPr>
        <w:t>:Peter</w:t>
      </w:r>
      <w:proofErr w:type="gramEnd"/>
      <w:r w:rsidRPr="001D652C">
        <w:rPr>
          <w:rFonts w:eastAsia="Times New Roman"/>
          <w:lang w:eastAsia="en-US"/>
        </w:rPr>
        <w:t xml:space="preserve"> </w:t>
      </w:r>
      <w:proofErr w:type="spellStart"/>
      <w:r w:rsidRPr="001D652C">
        <w:rPr>
          <w:rFonts w:eastAsia="Times New Roman"/>
          <w:lang w:eastAsia="en-US"/>
        </w:rPr>
        <w:t>Yezzi</w:t>
      </w:r>
      <w:proofErr w:type="spellEnd"/>
      <w:r w:rsidRPr="001D652C">
        <w:rPr>
          <w:rFonts w:eastAsia="Times New Roman"/>
          <w:lang w:eastAsia="en-US"/>
        </w:rPr>
        <w:t xml:space="preserve"> signed a second contract called the Admission Agreement on behalf of his wife because she no longer had the capacity to sign any agreement. </w:t>
      </w:r>
      <w:r w:rsidRPr="001D652C">
        <w:rPr>
          <w:rFonts w:eastAsia="Times New Roman"/>
          <w:lang w:eastAsia="en-US"/>
        </w:rPr>
        <w:br/>
      </w:r>
      <w:r w:rsidRPr="001D652C">
        <w:rPr>
          <w:rFonts w:eastAsia="Times New Roman"/>
          <w:lang w:eastAsia="en-US"/>
        </w:rPr>
        <w:br/>
        <w:t>Footnote 4:Public Health Law § 4655 (2) (c) states, in part, that "[</w:t>
      </w:r>
      <w:proofErr w:type="spellStart"/>
      <w:r w:rsidRPr="001D652C">
        <w:rPr>
          <w:rFonts w:eastAsia="Times New Roman"/>
          <w:lang w:eastAsia="en-US"/>
        </w:rPr>
        <w:t>i</w:t>
      </w:r>
      <w:proofErr w:type="spellEnd"/>
      <w:r w:rsidRPr="001D652C">
        <w:rPr>
          <w:rFonts w:eastAsia="Times New Roman"/>
          <w:lang w:eastAsia="en-US"/>
        </w:rPr>
        <w:t xml:space="preserve">]n order to receive a certificate of authority to enter into contracts....the applicant, shall apply for a certificate of authority on forms prescribed by the commissioner and, in addition, shall submit the following:...a copy of the proposed forms of contracts to be entered into with residents of the community [emphasis added]" </w:t>
      </w:r>
      <w:r w:rsidRPr="001D652C">
        <w:rPr>
          <w:rFonts w:eastAsia="Times New Roman"/>
          <w:lang w:eastAsia="en-US"/>
        </w:rPr>
        <w:br/>
      </w:r>
      <w:r w:rsidRPr="001D652C">
        <w:rPr>
          <w:rFonts w:eastAsia="Times New Roman"/>
          <w:lang w:eastAsia="en-US"/>
        </w:rPr>
        <w:br/>
        <w:t xml:space="preserve">Footnote 5:It is also for this reason that the court finds that DOH and BCDSS are not necessary parties under CPLR § 1001 (a). </w:t>
      </w:r>
      <w:r w:rsidRPr="001D652C">
        <w:rPr>
          <w:rFonts w:eastAsia="Times New Roman"/>
          <w:lang w:eastAsia="en-US"/>
        </w:rPr>
        <w:br/>
      </w:r>
      <w:r w:rsidRPr="001D652C">
        <w:rPr>
          <w:rFonts w:eastAsia="Times New Roman"/>
          <w:lang w:eastAsia="en-US"/>
        </w:rPr>
        <w:br/>
        <w:t>Footnote 6</w:t>
      </w:r>
      <w:proofErr w:type="gramStart"/>
      <w:r w:rsidRPr="001D652C">
        <w:rPr>
          <w:rFonts w:eastAsia="Times New Roman"/>
          <w:lang w:eastAsia="en-US"/>
        </w:rPr>
        <w:t>:To</w:t>
      </w:r>
      <w:proofErr w:type="gramEnd"/>
      <w:r w:rsidRPr="001D652C">
        <w:rPr>
          <w:rFonts w:eastAsia="Times New Roman"/>
          <w:lang w:eastAsia="en-US"/>
        </w:rPr>
        <w:t xml:space="preserve"> the extent that Good Shepherd seeks additional relief such as a separate declaration that the Medicaid qualification for Mrs. </w:t>
      </w:r>
      <w:proofErr w:type="spellStart"/>
      <w:r w:rsidRPr="001D652C">
        <w:rPr>
          <w:rFonts w:eastAsia="Times New Roman"/>
          <w:lang w:eastAsia="en-US"/>
        </w:rPr>
        <w:t>Yezzi</w:t>
      </w:r>
      <w:proofErr w:type="spellEnd"/>
      <w:r w:rsidRPr="001D652C">
        <w:rPr>
          <w:rFonts w:eastAsia="Times New Roman"/>
          <w:lang w:eastAsia="en-US"/>
        </w:rPr>
        <w:t xml:space="preserve"> is void ab initio, the court declines to do so at this juncture. On this limited issue, the court would have required the joinder of the Department of Health and Department of Social Services. </w:t>
      </w:r>
      <w:r w:rsidRPr="001D652C">
        <w:rPr>
          <w:rFonts w:eastAsia="Times New Roman"/>
          <w:lang w:eastAsia="en-US"/>
        </w:rPr>
        <w:br/>
      </w:r>
      <w:r w:rsidRPr="001D652C">
        <w:rPr>
          <w:rFonts w:eastAsia="Times New Roman"/>
          <w:lang w:eastAsia="en-US"/>
        </w:rPr>
        <w:br/>
        <w:t xml:space="preserve">Footnote 7:A person is considered insolvent when "the present fair salable value of his [or her] assets is less than the amount that will be required to pay his [or her] probable liability on ... existing debts as they become absolute and matured" (Debtor &amp; Creditor Law § 271[1]). </w:t>
      </w:r>
    </w:p>
    <w:sectPr w:rsidR="00C6425A" w:rsidRPr="003747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2C"/>
    <w:rsid w:val="00061A6B"/>
    <w:rsid w:val="001B630F"/>
    <w:rsid w:val="001D652C"/>
    <w:rsid w:val="002957B5"/>
    <w:rsid w:val="00374732"/>
    <w:rsid w:val="00587AFC"/>
    <w:rsid w:val="00C6425A"/>
    <w:rsid w:val="00FA3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291309">
      <w:bodyDiv w:val="1"/>
      <w:marLeft w:val="0"/>
      <w:marRight w:val="0"/>
      <w:marTop w:val="0"/>
      <w:marBottom w:val="0"/>
      <w:divBdr>
        <w:top w:val="none" w:sz="0" w:space="0" w:color="auto"/>
        <w:left w:val="none" w:sz="0" w:space="0" w:color="auto"/>
        <w:bottom w:val="none" w:sz="0" w:space="0" w:color="auto"/>
        <w:right w:val="none" w:sz="0" w:space="0" w:color="auto"/>
      </w:divBdr>
      <w:divsChild>
        <w:div w:id="706609751">
          <w:marLeft w:val="0"/>
          <w:marRight w:val="0"/>
          <w:marTop w:val="0"/>
          <w:marBottom w:val="0"/>
          <w:divBdr>
            <w:top w:val="none" w:sz="0" w:space="0" w:color="auto"/>
            <w:left w:val="none" w:sz="0" w:space="0" w:color="auto"/>
            <w:bottom w:val="none" w:sz="0" w:space="0" w:color="auto"/>
            <w:right w:val="none" w:sz="0" w:space="0" w:color="auto"/>
          </w:divBdr>
        </w:div>
        <w:div w:id="1721248357">
          <w:marLeft w:val="0"/>
          <w:marRight w:val="0"/>
          <w:marTop w:val="0"/>
          <w:marBottom w:val="0"/>
          <w:divBdr>
            <w:top w:val="none" w:sz="0" w:space="0" w:color="auto"/>
            <w:left w:val="none" w:sz="0" w:space="0" w:color="auto"/>
            <w:bottom w:val="none" w:sz="0" w:space="0" w:color="auto"/>
            <w:right w:val="none" w:sz="0" w:space="0" w:color="auto"/>
          </w:divBdr>
          <w:divsChild>
            <w:div w:id="10225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9</Pages>
  <Words>3271</Words>
  <Characters>18647</Characters>
  <Application>Microsoft Office Word</Application>
  <DocSecurity>0</DocSecurity>
  <Lines>155</Lines>
  <Paragraphs>43</Paragraphs>
  <ScaleCrop>false</ScaleCrop>
  <Company>Microsoft</Company>
  <LinksUpToDate>false</LinksUpToDate>
  <CharactersWithSpaces>21875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Vanarelli</dc:creator>
  <cp:lastModifiedBy>Donald Vanarelli</cp:lastModifiedBy>
  <cp:revision>5</cp:revision>
  <dcterms:created xsi:type="dcterms:W3CDTF">2015-02-09T18:27:00Z</dcterms:created>
  <dcterms:modified xsi:type="dcterms:W3CDTF">2015-02-09T22:48:00Z</dcterms:modified>
</cp:coreProperties>
</file>